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90E72" w14:textId="77777777" w:rsidR="00BF278B" w:rsidRPr="007501B6" w:rsidRDefault="00BF278B" w:rsidP="00BF278B">
      <w:pPr>
        <w:jc w:val="center"/>
        <w:rPr>
          <w:b/>
          <w:bCs/>
          <w:sz w:val="28"/>
          <w:szCs w:val="28"/>
          <w:u w:val="double"/>
        </w:rPr>
      </w:pPr>
      <w:bookmarkStart w:id="0" w:name="_Hlk191481989"/>
      <w:r w:rsidRPr="007501B6">
        <w:rPr>
          <w:b/>
          <w:bCs/>
          <w:sz w:val="28"/>
          <w:szCs w:val="28"/>
          <w:u w:val="double"/>
        </w:rPr>
        <w:t xml:space="preserve">PPG Meeting </w:t>
      </w:r>
      <w:r>
        <w:rPr>
          <w:b/>
          <w:bCs/>
          <w:sz w:val="28"/>
          <w:szCs w:val="28"/>
          <w:u w:val="double"/>
        </w:rPr>
        <w:t>– 12/11/2025</w:t>
      </w:r>
    </w:p>
    <w:p w14:paraId="7D5C1B5B" w14:textId="77777777" w:rsidR="00BF278B" w:rsidRDefault="00BF278B" w:rsidP="00BF278B">
      <w:r w:rsidRPr="00E158D0">
        <w:rPr>
          <w:b/>
          <w:bCs/>
          <w:u w:val="single"/>
        </w:rPr>
        <w:t>Location:</w:t>
      </w:r>
      <w:r>
        <w:t xml:space="preserve">  Waiting Room, Heckington</w:t>
      </w:r>
    </w:p>
    <w:p w14:paraId="51925A48" w14:textId="77777777" w:rsidR="00BF278B" w:rsidRDefault="00BF278B" w:rsidP="00BF278B">
      <w:r w:rsidRPr="00E158D0">
        <w:rPr>
          <w:b/>
          <w:bCs/>
          <w:u w:val="single"/>
        </w:rPr>
        <w:t>Time:</w:t>
      </w:r>
      <w:r>
        <w:t xml:space="preserve"> 18:00</w:t>
      </w:r>
    </w:p>
    <w:p w14:paraId="769E6F78" w14:textId="77777777" w:rsidR="00BF278B" w:rsidRDefault="00BF278B" w:rsidP="009D653F">
      <w:pPr>
        <w:spacing w:after="0"/>
        <w:rPr>
          <w:b/>
          <w:bCs/>
          <w:u w:val="single"/>
        </w:rPr>
      </w:pPr>
      <w:r w:rsidRPr="00E158D0">
        <w:rPr>
          <w:b/>
          <w:bCs/>
          <w:u w:val="single"/>
        </w:rPr>
        <w:t>Attendance:</w:t>
      </w:r>
    </w:p>
    <w:p w14:paraId="51A499BB" w14:textId="430581AD" w:rsidR="009D653F" w:rsidRDefault="009D653F" w:rsidP="009D653F">
      <w:pPr>
        <w:spacing w:after="0"/>
      </w:pPr>
      <w:r>
        <w:t>Alison Bourne (chairman)</w:t>
      </w:r>
    </w:p>
    <w:p w14:paraId="29FC53EB" w14:textId="2F700162" w:rsidR="009D653F" w:rsidRDefault="009D653F" w:rsidP="009D653F">
      <w:pPr>
        <w:spacing w:after="0"/>
      </w:pPr>
      <w:r>
        <w:t>Jane Dawe (secretary)</w:t>
      </w:r>
    </w:p>
    <w:p w14:paraId="366AAE05" w14:textId="7ECA7867" w:rsidR="009D653F" w:rsidRDefault="009D653F" w:rsidP="009D653F">
      <w:pPr>
        <w:spacing w:after="0"/>
      </w:pPr>
      <w:r>
        <w:t>Val Rhodes (Deputy Chairman)</w:t>
      </w:r>
    </w:p>
    <w:p w14:paraId="3A8F0703" w14:textId="3D031522" w:rsidR="009D653F" w:rsidRDefault="009D653F" w:rsidP="009D653F">
      <w:pPr>
        <w:spacing w:after="0"/>
      </w:pPr>
      <w:r>
        <w:t>Chris Robertson</w:t>
      </w:r>
    </w:p>
    <w:p w14:paraId="72E1D6F0" w14:textId="5DD16464" w:rsidR="009D653F" w:rsidRDefault="009D653F" w:rsidP="009D653F">
      <w:pPr>
        <w:spacing w:after="0"/>
      </w:pPr>
      <w:r>
        <w:t>Graham Aulton</w:t>
      </w:r>
    </w:p>
    <w:p w14:paraId="75BEBC4B" w14:textId="4BDEF213" w:rsidR="009D653F" w:rsidRDefault="009D653F" w:rsidP="009D653F">
      <w:pPr>
        <w:spacing w:after="0"/>
      </w:pPr>
      <w:r>
        <w:t>Beverley Aulton</w:t>
      </w:r>
    </w:p>
    <w:p w14:paraId="7EEA8094" w14:textId="37598FD7" w:rsidR="009D653F" w:rsidRDefault="009D653F" w:rsidP="009D653F">
      <w:pPr>
        <w:spacing w:after="0"/>
      </w:pPr>
      <w:r>
        <w:t>Jeff Harwood</w:t>
      </w:r>
    </w:p>
    <w:p w14:paraId="6F091472" w14:textId="4DA552A1" w:rsidR="009D653F" w:rsidRDefault="009D653F" w:rsidP="009D653F">
      <w:pPr>
        <w:spacing w:after="0"/>
      </w:pPr>
      <w:r>
        <w:t>Mary Rudkin</w:t>
      </w:r>
    </w:p>
    <w:p w14:paraId="273AD958" w14:textId="4C43BD7A" w:rsidR="009D653F" w:rsidRDefault="009D653F" w:rsidP="009D653F">
      <w:pPr>
        <w:spacing w:after="0"/>
      </w:pPr>
      <w:r>
        <w:t>Samantha Keating</w:t>
      </w:r>
    </w:p>
    <w:p w14:paraId="7E1213F0" w14:textId="473A0E3B" w:rsidR="009D653F" w:rsidRDefault="009D653F" w:rsidP="009D653F">
      <w:pPr>
        <w:spacing w:after="0"/>
      </w:pPr>
      <w:r>
        <w:t>Colin Goodman</w:t>
      </w:r>
    </w:p>
    <w:p w14:paraId="6634EE12" w14:textId="0B3E4DC9" w:rsidR="009D653F" w:rsidRDefault="009D653F" w:rsidP="009D653F">
      <w:pPr>
        <w:spacing w:after="0"/>
      </w:pPr>
      <w:r>
        <w:t>Jenna Elba-Porter</w:t>
      </w:r>
    </w:p>
    <w:p w14:paraId="188410FF" w14:textId="22BA0482" w:rsidR="009D653F" w:rsidRDefault="009D653F" w:rsidP="009D653F">
      <w:pPr>
        <w:spacing w:after="0"/>
      </w:pPr>
      <w:r>
        <w:t>Cat Bones</w:t>
      </w:r>
    </w:p>
    <w:p w14:paraId="5611927F" w14:textId="271B5025" w:rsidR="009D653F" w:rsidRDefault="009D653F" w:rsidP="009D653F">
      <w:pPr>
        <w:spacing w:after="0"/>
      </w:pPr>
      <w:r>
        <w:t>Dr. Shrouder</w:t>
      </w:r>
    </w:p>
    <w:p w14:paraId="38D62D62" w14:textId="452F5DC3" w:rsidR="009D653F" w:rsidRDefault="009D653F" w:rsidP="009D653F">
      <w:pPr>
        <w:spacing w:after="0"/>
      </w:pPr>
      <w:r>
        <w:t>Claire Shrouder</w:t>
      </w:r>
    </w:p>
    <w:p w14:paraId="4656DA51" w14:textId="77777777" w:rsidR="00797E82" w:rsidRPr="009D653F" w:rsidRDefault="00797E82" w:rsidP="009D653F">
      <w:pPr>
        <w:spacing w:after="0"/>
      </w:pPr>
    </w:p>
    <w:p w14:paraId="55DA126A" w14:textId="27BC76CD" w:rsidR="00BF278B" w:rsidRDefault="00BF278B" w:rsidP="00797E82">
      <w:pPr>
        <w:spacing w:after="0"/>
        <w:rPr>
          <w:b/>
          <w:bCs/>
          <w:u w:val="single"/>
        </w:rPr>
      </w:pPr>
      <w:r w:rsidRPr="00E158D0">
        <w:rPr>
          <w:b/>
          <w:bCs/>
          <w:u w:val="single"/>
        </w:rPr>
        <w:t>Apologies</w:t>
      </w:r>
    </w:p>
    <w:p w14:paraId="6E7AEEB3" w14:textId="51F62CF8" w:rsidR="00797E82" w:rsidRDefault="00797E82" w:rsidP="00797E82">
      <w:pPr>
        <w:spacing w:after="0"/>
      </w:pPr>
      <w:r>
        <w:t>Alan Creaser</w:t>
      </w:r>
    </w:p>
    <w:p w14:paraId="54D48E08" w14:textId="77777777" w:rsidR="00797E82" w:rsidRPr="00797E82" w:rsidRDefault="00797E82" w:rsidP="00797E82">
      <w:pPr>
        <w:spacing w:after="0"/>
      </w:pPr>
    </w:p>
    <w:tbl>
      <w:tblPr>
        <w:tblStyle w:val="TableGrid"/>
        <w:tblW w:w="0" w:type="auto"/>
        <w:tblLook w:val="04A0" w:firstRow="1" w:lastRow="0" w:firstColumn="1" w:lastColumn="0" w:noHBand="0" w:noVBand="1"/>
      </w:tblPr>
      <w:tblGrid>
        <w:gridCol w:w="421"/>
        <w:gridCol w:w="6520"/>
        <w:gridCol w:w="3402"/>
      </w:tblGrid>
      <w:tr w:rsidR="00BF278B" w14:paraId="6222CBE4" w14:textId="77777777" w:rsidTr="00935DB8">
        <w:tc>
          <w:tcPr>
            <w:tcW w:w="421" w:type="dxa"/>
          </w:tcPr>
          <w:p w14:paraId="2A015556" w14:textId="77777777" w:rsidR="00BF278B" w:rsidRDefault="00BF278B" w:rsidP="00935DB8"/>
        </w:tc>
        <w:tc>
          <w:tcPr>
            <w:tcW w:w="6520" w:type="dxa"/>
          </w:tcPr>
          <w:p w14:paraId="10337C24" w14:textId="77777777" w:rsidR="00BF278B" w:rsidRPr="00E158D0" w:rsidRDefault="00BF278B" w:rsidP="00935DB8">
            <w:pPr>
              <w:rPr>
                <w:b/>
                <w:bCs/>
              </w:rPr>
            </w:pPr>
            <w:r w:rsidRPr="00E158D0">
              <w:rPr>
                <w:b/>
                <w:bCs/>
              </w:rPr>
              <w:t>Item</w:t>
            </w:r>
          </w:p>
        </w:tc>
        <w:tc>
          <w:tcPr>
            <w:tcW w:w="3402" w:type="dxa"/>
          </w:tcPr>
          <w:p w14:paraId="222E37E3" w14:textId="77777777" w:rsidR="00BF278B" w:rsidRPr="00E158D0" w:rsidRDefault="00BF278B" w:rsidP="00935DB8">
            <w:pPr>
              <w:rPr>
                <w:b/>
                <w:bCs/>
              </w:rPr>
            </w:pPr>
            <w:r w:rsidRPr="00E158D0">
              <w:rPr>
                <w:b/>
                <w:bCs/>
              </w:rPr>
              <w:t>actions</w:t>
            </w:r>
          </w:p>
        </w:tc>
      </w:tr>
      <w:tr w:rsidR="00BF278B" w14:paraId="19DDB6E4" w14:textId="77777777" w:rsidTr="00935DB8">
        <w:tc>
          <w:tcPr>
            <w:tcW w:w="421" w:type="dxa"/>
          </w:tcPr>
          <w:p w14:paraId="6BF4CE28" w14:textId="77777777" w:rsidR="00BF278B" w:rsidRDefault="00BF278B" w:rsidP="00935DB8"/>
          <w:p w14:paraId="2995B6B0" w14:textId="77777777" w:rsidR="00BF278B" w:rsidRDefault="00BF278B" w:rsidP="00935DB8">
            <w:r>
              <w:t>1</w:t>
            </w:r>
          </w:p>
        </w:tc>
        <w:tc>
          <w:tcPr>
            <w:tcW w:w="6520" w:type="dxa"/>
          </w:tcPr>
          <w:p w14:paraId="42854212" w14:textId="385634BF" w:rsidR="00BF278B" w:rsidRDefault="00BF278B" w:rsidP="00935DB8">
            <w:r w:rsidRPr="00797E82">
              <w:t xml:space="preserve">Welcome and minutes of last </w:t>
            </w:r>
            <w:r w:rsidR="00703AE0" w:rsidRPr="00797E82">
              <w:t>meetin</w:t>
            </w:r>
            <w:r w:rsidR="00703AE0">
              <w:t>g.</w:t>
            </w:r>
          </w:p>
          <w:p w14:paraId="7F3845E2" w14:textId="63FA5549" w:rsidR="00797E82" w:rsidRDefault="00797E82" w:rsidP="00935DB8">
            <w:r>
              <w:t>Housekeeping – Alison</w:t>
            </w:r>
          </w:p>
          <w:p w14:paraId="0D4475E6" w14:textId="13D7B4E6" w:rsidR="00BF278B" w:rsidRPr="00797E82" w:rsidRDefault="00797E82" w:rsidP="00935DB8">
            <w:r>
              <w:t>Welcome to Colin</w:t>
            </w:r>
          </w:p>
        </w:tc>
        <w:tc>
          <w:tcPr>
            <w:tcW w:w="3402" w:type="dxa"/>
          </w:tcPr>
          <w:p w14:paraId="3AB3AC17" w14:textId="77777777" w:rsidR="00BF278B" w:rsidRDefault="00BF278B" w:rsidP="00935DB8">
            <w:r>
              <w:t>All Agreed</w:t>
            </w:r>
          </w:p>
        </w:tc>
      </w:tr>
      <w:tr w:rsidR="00BF278B" w14:paraId="7EFE8091" w14:textId="77777777" w:rsidTr="00935DB8">
        <w:tc>
          <w:tcPr>
            <w:tcW w:w="421" w:type="dxa"/>
          </w:tcPr>
          <w:p w14:paraId="69BDF5B5" w14:textId="77777777" w:rsidR="00BF278B" w:rsidRDefault="00BF278B" w:rsidP="00935DB8"/>
          <w:p w14:paraId="37881964" w14:textId="77777777" w:rsidR="00BF278B" w:rsidRDefault="00BF278B" w:rsidP="00935DB8">
            <w:r>
              <w:t>2</w:t>
            </w:r>
          </w:p>
        </w:tc>
        <w:tc>
          <w:tcPr>
            <w:tcW w:w="6520" w:type="dxa"/>
          </w:tcPr>
          <w:p w14:paraId="4E0E8748" w14:textId="77777777" w:rsidR="00BF278B" w:rsidRDefault="00BF278B" w:rsidP="00935DB8">
            <w:pPr>
              <w:rPr>
                <w:b/>
                <w:bCs/>
                <w:u w:val="single"/>
              </w:rPr>
            </w:pPr>
            <w:r w:rsidRPr="00E158D0">
              <w:rPr>
                <w:b/>
                <w:bCs/>
                <w:u w:val="single"/>
              </w:rPr>
              <w:t>Actions from last meeting:</w:t>
            </w:r>
          </w:p>
          <w:p w14:paraId="2C7D1FDA" w14:textId="3A519E1B" w:rsidR="00797E82" w:rsidRDefault="00797E82" w:rsidP="00797E82">
            <w:pPr>
              <w:pStyle w:val="ListParagraph"/>
              <w:numPr>
                <w:ilvl w:val="0"/>
                <w:numId w:val="4"/>
              </w:numPr>
            </w:pPr>
            <w:r>
              <w:t>Newsletter and written communication strategy – no update</w:t>
            </w:r>
            <w:r w:rsidR="00703AE0">
              <w:t xml:space="preserve">. </w:t>
            </w:r>
            <w:r>
              <w:t>Samantha volunteered to look at producing the newsletter.</w:t>
            </w:r>
          </w:p>
          <w:p w14:paraId="356EE900" w14:textId="60AE6937" w:rsidR="00797E82" w:rsidRDefault="00797E82" w:rsidP="00797E82">
            <w:pPr>
              <w:pStyle w:val="ListParagraph"/>
              <w:numPr>
                <w:ilvl w:val="0"/>
                <w:numId w:val="4"/>
              </w:numPr>
            </w:pPr>
            <w:r>
              <w:t>Sleaford portacabins – No update from ICB</w:t>
            </w:r>
            <w:r w:rsidR="00703AE0">
              <w:t xml:space="preserve">. </w:t>
            </w:r>
            <w:r>
              <w:t>ICB have disclosed that options are being explored but no further details available.</w:t>
            </w:r>
          </w:p>
          <w:p w14:paraId="3A431644" w14:textId="20F5D901" w:rsidR="004E27F2" w:rsidRPr="00797E82" w:rsidRDefault="004E27F2" w:rsidP="00797E82">
            <w:pPr>
              <w:pStyle w:val="ListParagraph"/>
              <w:numPr>
                <w:ilvl w:val="0"/>
                <w:numId w:val="4"/>
              </w:numPr>
            </w:pPr>
            <w:r>
              <w:t xml:space="preserve">Disabled parking bay – Dr. Shrouder to </w:t>
            </w:r>
            <w:r w:rsidR="00C01D58">
              <w:t>consult</w:t>
            </w:r>
            <w:r>
              <w:t xml:space="preserve"> with Jennie regarding relocation of designated parking bay.</w:t>
            </w:r>
          </w:p>
          <w:p w14:paraId="1C5AC7D7" w14:textId="77777777" w:rsidR="00797E82" w:rsidRPr="00797E82" w:rsidRDefault="00797E82" w:rsidP="00797E82">
            <w:pPr>
              <w:pStyle w:val="ListParagraph"/>
              <w:ind w:left="1440"/>
            </w:pPr>
          </w:p>
          <w:p w14:paraId="2F64D173" w14:textId="77777777" w:rsidR="00BF278B" w:rsidRDefault="00BF278B" w:rsidP="00797E82">
            <w:pPr>
              <w:pStyle w:val="ListParagraph"/>
            </w:pPr>
          </w:p>
        </w:tc>
        <w:tc>
          <w:tcPr>
            <w:tcW w:w="3402" w:type="dxa"/>
          </w:tcPr>
          <w:p w14:paraId="5B79EC20" w14:textId="77777777" w:rsidR="00BF278B" w:rsidRDefault="00BF278B" w:rsidP="00935DB8"/>
          <w:p w14:paraId="7098642D" w14:textId="7939B451" w:rsidR="00797E82" w:rsidRDefault="00797E82" w:rsidP="00935DB8">
            <w:r>
              <w:t xml:space="preserve">Samantha to contact </w:t>
            </w:r>
            <w:r w:rsidR="00703AE0">
              <w:t>Jennie.</w:t>
            </w:r>
          </w:p>
          <w:p w14:paraId="61D7A12E" w14:textId="77777777" w:rsidR="00797E82" w:rsidRDefault="00797E82" w:rsidP="00935DB8"/>
          <w:p w14:paraId="04197179" w14:textId="77777777" w:rsidR="00797E82" w:rsidRDefault="00797E82" w:rsidP="00935DB8"/>
          <w:p w14:paraId="276100CF" w14:textId="77777777" w:rsidR="00797E82" w:rsidRDefault="00797E82" w:rsidP="00935DB8">
            <w:r>
              <w:t>Ongoing</w:t>
            </w:r>
          </w:p>
          <w:p w14:paraId="03C5E561" w14:textId="77777777" w:rsidR="00FD467A" w:rsidRDefault="00FD467A" w:rsidP="00935DB8"/>
          <w:p w14:paraId="6B5E0C07" w14:textId="77777777" w:rsidR="00FD467A" w:rsidRDefault="00FD467A" w:rsidP="00935DB8"/>
          <w:p w14:paraId="49C3FE45" w14:textId="0CCAC38B" w:rsidR="00FD467A" w:rsidRDefault="00FD467A" w:rsidP="00935DB8">
            <w:r>
              <w:t>Dr. Shrouder and Jennie</w:t>
            </w:r>
          </w:p>
        </w:tc>
      </w:tr>
      <w:tr w:rsidR="00BF278B" w14:paraId="02CDEC6E" w14:textId="77777777" w:rsidTr="00935DB8">
        <w:tc>
          <w:tcPr>
            <w:tcW w:w="421" w:type="dxa"/>
          </w:tcPr>
          <w:p w14:paraId="04974346" w14:textId="77777777" w:rsidR="00BF278B" w:rsidRDefault="00BF278B" w:rsidP="00935DB8"/>
          <w:p w14:paraId="39FC8D00" w14:textId="77777777" w:rsidR="00BF278B" w:rsidRDefault="00BF278B" w:rsidP="00935DB8">
            <w:r>
              <w:t>3</w:t>
            </w:r>
          </w:p>
        </w:tc>
        <w:tc>
          <w:tcPr>
            <w:tcW w:w="6520" w:type="dxa"/>
          </w:tcPr>
          <w:p w14:paraId="063DAA99" w14:textId="77777777" w:rsidR="00BF278B" w:rsidRDefault="00BF278B" w:rsidP="00935DB8">
            <w:pPr>
              <w:rPr>
                <w:b/>
                <w:bCs/>
                <w:u w:val="single"/>
              </w:rPr>
            </w:pPr>
            <w:r w:rsidRPr="00E158D0">
              <w:rPr>
                <w:b/>
                <w:bCs/>
                <w:u w:val="single"/>
              </w:rPr>
              <w:t>Practice Update</w:t>
            </w:r>
          </w:p>
          <w:p w14:paraId="24713CE3" w14:textId="200542E2" w:rsidR="00571F03" w:rsidRDefault="00571F03" w:rsidP="00571F03">
            <w:pPr>
              <w:pStyle w:val="ListParagraph"/>
              <w:numPr>
                <w:ilvl w:val="0"/>
                <w:numId w:val="5"/>
              </w:numPr>
            </w:pPr>
            <w:r>
              <w:t>Latest DNA figures- these were shared and it was noted that flu clinics may have had an impact on the most recent data</w:t>
            </w:r>
            <w:r w:rsidR="00703AE0">
              <w:t xml:space="preserve">. </w:t>
            </w:r>
            <w:r>
              <w:t xml:space="preserve">Text reminders were discussed and it was suggested that a sampling exercise be </w:t>
            </w:r>
            <w:r w:rsidR="00C01D58">
              <w:t>conducted</w:t>
            </w:r>
            <w:r>
              <w:t xml:space="preserve"> to check if message system is working</w:t>
            </w:r>
            <w:r w:rsidR="00703AE0">
              <w:t xml:space="preserve">. </w:t>
            </w:r>
            <w:r>
              <w:t>Another suggestion was to add a question regarding cancelling appointments to patient surveys.</w:t>
            </w:r>
          </w:p>
          <w:p w14:paraId="7220D195" w14:textId="54F462F6" w:rsidR="00473460" w:rsidRDefault="00473460" w:rsidP="00571F03">
            <w:pPr>
              <w:pStyle w:val="ListParagraph"/>
              <w:numPr>
                <w:ilvl w:val="0"/>
                <w:numId w:val="5"/>
              </w:numPr>
            </w:pPr>
            <w:r>
              <w:t xml:space="preserve">Patient surveys – One morning done in Sleaford but it </w:t>
            </w:r>
            <w:r w:rsidR="00703AE0">
              <w:t>did not</w:t>
            </w:r>
            <w:r>
              <w:t xml:space="preserve"> produce many </w:t>
            </w:r>
            <w:r w:rsidR="00703AE0">
              <w:t>responses,</w:t>
            </w:r>
            <w:r>
              <w:t xml:space="preserve"> so a repeat was agreed</w:t>
            </w:r>
            <w:r w:rsidR="00703AE0">
              <w:t xml:space="preserve">. </w:t>
            </w:r>
            <w:r>
              <w:t>Sam and Jane to arrange another date for Sleaford</w:t>
            </w:r>
            <w:r w:rsidR="00703AE0">
              <w:t xml:space="preserve">. </w:t>
            </w:r>
            <w:r>
              <w:t>Beverley and Chris to arrange a date for Heckington.</w:t>
            </w:r>
          </w:p>
          <w:p w14:paraId="3CE80554" w14:textId="1C1049DA" w:rsidR="00335C06" w:rsidRDefault="00335C06" w:rsidP="00571F03">
            <w:pPr>
              <w:pStyle w:val="ListParagraph"/>
              <w:numPr>
                <w:ilvl w:val="0"/>
                <w:numId w:val="5"/>
              </w:numPr>
            </w:pPr>
            <w:r>
              <w:lastRenderedPageBreak/>
              <w:t>Christmas – this year the plan is to put together gift boxes for recently bereaved families (Operation Santa)</w:t>
            </w:r>
            <w:r w:rsidR="00703AE0">
              <w:t xml:space="preserve">. </w:t>
            </w:r>
            <w:r>
              <w:t>Posters are displayed with a QR code to access donation list.</w:t>
            </w:r>
          </w:p>
          <w:p w14:paraId="1875F7FE" w14:textId="183757AD" w:rsidR="00ED0A89" w:rsidRDefault="00ED0A89" w:rsidP="00571F03">
            <w:pPr>
              <w:pStyle w:val="ListParagraph"/>
              <w:numPr>
                <w:ilvl w:val="0"/>
                <w:numId w:val="5"/>
              </w:numPr>
            </w:pPr>
            <w:r>
              <w:t xml:space="preserve">News/updates from Partners </w:t>
            </w:r>
            <w:r w:rsidR="00227BE0">
              <w:t>–</w:t>
            </w:r>
            <w:r>
              <w:t xml:space="preserve"> </w:t>
            </w:r>
            <w:r w:rsidR="00227BE0">
              <w:t>A new clinical pharmacist employed by K2 to start in December</w:t>
            </w:r>
            <w:r w:rsidR="00703AE0">
              <w:t xml:space="preserve">. </w:t>
            </w:r>
            <w:r w:rsidR="00227BE0">
              <w:t>Sue has retired from the pharmacy, Izzy has been employed to work in the pharmacy, Tracy (secretary) is leaving and new GP Dr Sule has commenced his employment at the practice</w:t>
            </w:r>
            <w:r w:rsidR="00703AE0">
              <w:t xml:space="preserve">. </w:t>
            </w:r>
            <w:r w:rsidR="00227BE0">
              <w:t>The new clinical room in Heckington is almost complete.</w:t>
            </w:r>
          </w:p>
          <w:p w14:paraId="6AC2A81D" w14:textId="7E4FF123" w:rsidR="0031110A" w:rsidRDefault="0031110A" w:rsidP="00571F03">
            <w:pPr>
              <w:pStyle w:val="ListParagraph"/>
              <w:numPr>
                <w:ilvl w:val="0"/>
                <w:numId w:val="5"/>
              </w:numPr>
            </w:pPr>
            <w:r>
              <w:t>Online access update – From 1/10/2025 online access for patients was mandated across the country</w:t>
            </w:r>
            <w:r w:rsidR="00703AE0">
              <w:t xml:space="preserve">. </w:t>
            </w:r>
            <w:r>
              <w:t xml:space="preserve">We are fully compliant with this: </w:t>
            </w:r>
          </w:p>
          <w:p w14:paraId="5FC3B99D" w14:textId="05D2C99A" w:rsidR="0031110A" w:rsidRDefault="0031110A" w:rsidP="0031110A">
            <w:pPr>
              <w:pStyle w:val="ListParagraph"/>
            </w:pPr>
            <w:r>
              <w:t>Online consultation tools must be turned on for Admin, non-urgent/routine requests</w:t>
            </w:r>
            <w:r w:rsidR="00703AE0">
              <w:t xml:space="preserve">. </w:t>
            </w:r>
            <w:r>
              <w:t>This must be reflected on our website</w:t>
            </w:r>
            <w:r w:rsidR="00703AE0">
              <w:t xml:space="preserve">. </w:t>
            </w:r>
          </w:p>
          <w:p w14:paraId="1650B3C1" w14:textId="77777777" w:rsidR="0031110A" w:rsidRDefault="0031110A" w:rsidP="0031110A">
            <w:pPr>
              <w:pStyle w:val="ListParagraph"/>
            </w:pPr>
            <w:r>
              <w:t xml:space="preserve">There cannot be reference to online consultation being closed between (8am – 6.30pm) on our website. </w:t>
            </w:r>
          </w:p>
          <w:p w14:paraId="4FFAA286" w14:textId="6FD88DE7" w:rsidR="0031110A" w:rsidRDefault="0031110A" w:rsidP="0031110A">
            <w:pPr>
              <w:pStyle w:val="ListParagraph"/>
            </w:pPr>
            <w:r>
              <w:t>All queries must receive a same day response</w:t>
            </w:r>
            <w:r w:rsidR="00703AE0">
              <w:t xml:space="preserve">. </w:t>
            </w:r>
          </w:p>
          <w:p w14:paraId="57406E56" w14:textId="0D302398" w:rsidR="0031110A" w:rsidRDefault="0031110A" w:rsidP="0031110A">
            <w:pPr>
              <w:pStyle w:val="ListParagraph"/>
            </w:pPr>
            <w:r>
              <w:t>GP connection functionality (where community pharmacy can upload consultation details to clinical records).</w:t>
            </w:r>
          </w:p>
          <w:p w14:paraId="3EB7B518" w14:textId="0676550B" w:rsidR="0031110A" w:rsidRDefault="0031110A" w:rsidP="0031110A">
            <w:pPr>
              <w:pStyle w:val="ListParagraph"/>
            </w:pPr>
            <w:r>
              <w:t>A link on website to You and Your GP document.</w:t>
            </w:r>
          </w:p>
          <w:p w14:paraId="6D361E8B" w14:textId="41AFF592" w:rsidR="0031110A" w:rsidRDefault="0031110A" w:rsidP="0031110A">
            <w:pPr>
              <w:pStyle w:val="ListParagraph"/>
            </w:pPr>
          </w:p>
          <w:p w14:paraId="64B8552D" w14:textId="1A6FDE7E" w:rsidR="00F5787F" w:rsidRDefault="00F5787F" w:rsidP="0031110A">
            <w:pPr>
              <w:pStyle w:val="ListParagraph"/>
            </w:pPr>
            <w:r>
              <w:t xml:space="preserve">Ask My GP has kept </w:t>
            </w:r>
            <w:r w:rsidR="00703AE0">
              <w:t>its</w:t>
            </w:r>
            <w:r>
              <w:t xml:space="preserve"> opening time of 05.00 as it is felt it best supports patients regardless of their situation.</w:t>
            </w:r>
          </w:p>
          <w:p w14:paraId="765E6922" w14:textId="6E3A083B" w:rsidR="00F5787F" w:rsidRDefault="00F5787F" w:rsidP="0031110A">
            <w:pPr>
              <w:pStyle w:val="ListParagraph"/>
            </w:pPr>
            <w:r>
              <w:t xml:space="preserve">Urgent requests, UTI requests, sick note requests close at 11.00 </w:t>
            </w:r>
            <w:r w:rsidR="00703AE0">
              <w:t>to</w:t>
            </w:r>
            <w:r>
              <w:t xml:space="preserve"> manage on the day care</w:t>
            </w:r>
            <w:r w:rsidR="00703AE0">
              <w:t xml:space="preserve">. </w:t>
            </w:r>
            <w:r>
              <w:t>Samples for the lab are collected at lunchtime so need to be in practice ready for collection.</w:t>
            </w:r>
          </w:p>
          <w:p w14:paraId="445CEA6D" w14:textId="4FB7BEB3" w:rsidR="00F5787F" w:rsidRDefault="00F5787F" w:rsidP="0031110A">
            <w:pPr>
              <w:pStyle w:val="ListParagraph"/>
            </w:pPr>
            <w:r>
              <w:t>Non repeat medication queries open until 14.30 to allow processing before dispensary closes</w:t>
            </w:r>
            <w:r w:rsidR="00703AE0">
              <w:t xml:space="preserve">. </w:t>
            </w:r>
            <w:r>
              <w:t xml:space="preserve">Repeat medication can be requested 24/7 via the NHS app, </w:t>
            </w:r>
            <w:r w:rsidR="00703AE0">
              <w:t>System Online</w:t>
            </w:r>
            <w:r>
              <w:t>, via our website or by dropping request slips into practice.</w:t>
            </w:r>
          </w:p>
          <w:p w14:paraId="317FC9C8" w14:textId="7F520913" w:rsidR="00F5787F" w:rsidRDefault="00EA2EEF" w:rsidP="0031110A">
            <w:pPr>
              <w:pStyle w:val="ListParagraph"/>
            </w:pPr>
            <w:r>
              <w:t>The practice has ‘eyes on’ the system until surgery closes.</w:t>
            </w:r>
          </w:p>
          <w:p w14:paraId="06DABD38" w14:textId="2B583C5F" w:rsidR="00EA2EEF" w:rsidRDefault="00EA2EEF" w:rsidP="0031110A">
            <w:pPr>
              <w:pStyle w:val="ListParagraph"/>
            </w:pPr>
            <w:r>
              <w:t>Reporting shows there is minimal activity on AMGP after 14.30, most of this is staff placing AMGP requests for patients or to manage test results etc.</w:t>
            </w:r>
          </w:p>
          <w:p w14:paraId="68E83274" w14:textId="6FDDBB0B" w:rsidR="00EA2EEF" w:rsidRDefault="00703AE0" w:rsidP="0031110A">
            <w:pPr>
              <w:pStyle w:val="ListParagraph"/>
            </w:pPr>
            <w:r w:rsidRPr="00774EA5">
              <w:rPr>
                <w:b/>
                <w:bCs/>
              </w:rPr>
              <w:t>Misconceptions</w:t>
            </w:r>
            <w:r>
              <w:t>:</w:t>
            </w:r>
            <w:r w:rsidR="00774EA5">
              <w:t xml:space="preserve"> We are not mandated to offer online appointment booking allowing patients to book own appointments.</w:t>
            </w:r>
          </w:p>
          <w:p w14:paraId="06C670EC" w14:textId="5DF17193" w:rsidR="00BF278B" w:rsidRDefault="00774EA5" w:rsidP="00B60196">
            <w:pPr>
              <w:pStyle w:val="ListParagraph"/>
            </w:pPr>
            <w:r>
              <w:t>We do not have to action urgent requests during core hours, this is not viable</w:t>
            </w:r>
            <w:r w:rsidR="00703AE0">
              <w:t xml:space="preserve">. </w:t>
            </w:r>
            <w:r>
              <w:t>It is clearly stated that 111, 999, UTC is available for urgent/trauma cases.</w:t>
            </w:r>
          </w:p>
        </w:tc>
        <w:tc>
          <w:tcPr>
            <w:tcW w:w="3402" w:type="dxa"/>
          </w:tcPr>
          <w:p w14:paraId="4794956C" w14:textId="77777777" w:rsidR="00BF278B" w:rsidRDefault="00BF278B" w:rsidP="00935DB8"/>
          <w:p w14:paraId="0EC56EC4" w14:textId="129116AC" w:rsidR="00B65677" w:rsidRDefault="00B65677" w:rsidP="00935DB8">
            <w:r>
              <w:t xml:space="preserve">Look at sampling to check text </w:t>
            </w:r>
            <w:r w:rsidR="00703AE0">
              <w:t>messages.</w:t>
            </w:r>
          </w:p>
          <w:p w14:paraId="25438DA9" w14:textId="77777777" w:rsidR="00B65677" w:rsidRDefault="00B65677" w:rsidP="00935DB8"/>
          <w:p w14:paraId="0CF21322" w14:textId="77777777" w:rsidR="00B65677" w:rsidRDefault="00B65677" w:rsidP="00935DB8">
            <w:r>
              <w:t>Patient survey</w:t>
            </w:r>
          </w:p>
          <w:p w14:paraId="263325CA" w14:textId="77777777" w:rsidR="00473460" w:rsidRDefault="00473460" w:rsidP="00935DB8"/>
          <w:p w14:paraId="39C783EB" w14:textId="77777777" w:rsidR="00473460" w:rsidRDefault="00473460" w:rsidP="00935DB8"/>
          <w:p w14:paraId="01C78FD0" w14:textId="77777777" w:rsidR="00473460" w:rsidRDefault="00473460" w:rsidP="00935DB8"/>
          <w:p w14:paraId="6A4EC4CD" w14:textId="77777777" w:rsidR="00473460" w:rsidRDefault="00473460" w:rsidP="00935DB8"/>
          <w:p w14:paraId="3916C331" w14:textId="77777777" w:rsidR="00473460" w:rsidRDefault="00473460" w:rsidP="00935DB8">
            <w:r>
              <w:t>To be carried out</w:t>
            </w:r>
          </w:p>
          <w:p w14:paraId="0D1BDE53" w14:textId="77777777" w:rsidR="00335C06" w:rsidRDefault="00335C06" w:rsidP="00935DB8"/>
          <w:p w14:paraId="2F372C0A" w14:textId="77777777" w:rsidR="00335C06" w:rsidRDefault="00335C06" w:rsidP="00935DB8"/>
          <w:p w14:paraId="30E8F0AF" w14:textId="77777777" w:rsidR="00335C06" w:rsidRDefault="00335C06" w:rsidP="00935DB8"/>
          <w:p w14:paraId="35E7432A" w14:textId="77777777" w:rsidR="00335C06" w:rsidRDefault="00335C06" w:rsidP="00935DB8"/>
          <w:p w14:paraId="05E6D033" w14:textId="50913EAE" w:rsidR="00335C06" w:rsidRDefault="00335C06" w:rsidP="00935DB8">
            <w:r>
              <w:t>Jennie and practice staff</w:t>
            </w:r>
          </w:p>
        </w:tc>
      </w:tr>
      <w:tr w:rsidR="00BF278B" w14:paraId="086BA53D" w14:textId="77777777" w:rsidTr="00935DB8">
        <w:tc>
          <w:tcPr>
            <w:tcW w:w="421" w:type="dxa"/>
          </w:tcPr>
          <w:p w14:paraId="30F3D868" w14:textId="77777777" w:rsidR="00BF278B" w:rsidRDefault="00BF278B" w:rsidP="00935DB8"/>
          <w:p w14:paraId="15C1DA37" w14:textId="77777777" w:rsidR="00BF278B" w:rsidRDefault="00BF278B" w:rsidP="00935DB8">
            <w:r>
              <w:t>4</w:t>
            </w:r>
          </w:p>
        </w:tc>
        <w:tc>
          <w:tcPr>
            <w:tcW w:w="6520" w:type="dxa"/>
          </w:tcPr>
          <w:p w14:paraId="65EB3994" w14:textId="77777777" w:rsidR="00BF278B" w:rsidRDefault="00BF278B" w:rsidP="00935DB8">
            <w:pPr>
              <w:rPr>
                <w:b/>
                <w:bCs/>
                <w:u w:val="single"/>
              </w:rPr>
            </w:pPr>
            <w:r w:rsidRPr="00E158D0">
              <w:rPr>
                <w:b/>
                <w:bCs/>
                <w:u w:val="single"/>
              </w:rPr>
              <w:t>Complaints and compliments</w:t>
            </w:r>
          </w:p>
          <w:p w14:paraId="6409A502" w14:textId="7A6AE10C" w:rsidR="0091564A" w:rsidRDefault="0091564A" w:rsidP="0091564A">
            <w:pPr>
              <w:pStyle w:val="ListParagraph"/>
              <w:numPr>
                <w:ilvl w:val="0"/>
                <w:numId w:val="6"/>
              </w:numPr>
            </w:pPr>
            <w:r>
              <w:t xml:space="preserve">One complaint under </w:t>
            </w:r>
            <w:r w:rsidR="00703AE0">
              <w:t>investigation</w:t>
            </w:r>
            <w:r>
              <w:t xml:space="preserve"> regarding discharge from UTC Grantham and follow up actions at home</w:t>
            </w:r>
            <w:r w:rsidR="00703AE0">
              <w:t xml:space="preserve">. </w:t>
            </w:r>
            <w:r>
              <w:t xml:space="preserve">No outcome </w:t>
            </w:r>
            <w:r w:rsidR="00703AE0">
              <w:t>yet</w:t>
            </w:r>
            <w:r>
              <w:t>.</w:t>
            </w:r>
          </w:p>
          <w:p w14:paraId="6A689596" w14:textId="4A91912B" w:rsidR="0091564A" w:rsidRDefault="0091564A" w:rsidP="0091564A">
            <w:pPr>
              <w:pStyle w:val="ListParagraph"/>
              <w:numPr>
                <w:ilvl w:val="0"/>
                <w:numId w:val="6"/>
              </w:numPr>
            </w:pPr>
            <w:r>
              <w:t>Multiple compliments and praise received from patients ranging through staff and about the practice in general, hospital avoidance, friendly and helpful Care Navigators, speedy response to requests, polite and efficient staff, prompt responses to AMGP and getting appointments, a brilliant service from all departments.</w:t>
            </w:r>
          </w:p>
          <w:p w14:paraId="20B9C27A" w14:textId="1CE00770" w:rsidR="001066AA" w:rsidRPr="0091564A" w:rsidRDefault="001066AA" w:rsidP="0091564A">
            <w:pPr>
              <w:pStyle w:val="ListParagraph"/>
              <w:numPr>
                <w:ilvl w:val="0"/>
                <w:numId w:val="6"/>
              </w:numPr>
            </w:pPr>
            <w:r>
              <w:t>Colin praised staff and said it is the best practice he has been involved with.</w:t>
            </w:r>
          </w:p>
          <w:p w14:paraId="71370F6F" w14:textId="77777777" w:rsidR="00B60196" w:rsidRPr="0091564A" w:rsidRDefault="00B60196" w:rsidP="00935DB8"/>
          <w:p w14:paraId="0C0CE1D9" w14:textId="77777777" w:rsidR="00BF278B" w:rsidRDefault="00BF278B" w:rsidP="00935DB8"/>
        </w:tc>
        <w:tc>
          <w:tcPr>
            <w:tcW w:w="3402" w:type="dxa"/>
          </w:tcPr>
          <w:p w14:paraId="175600EE" w14:textId="77777777" w:rsidR="00BF278B" w:rsidRDefault="00BF278B" w:rsidP="00935DB8"/>
          <w:p w14:paraId="6540F7B4" w14:textId="4AA49402" w:rsidR="0091564A" w:rsidRDefault="0091564A" w:rsidP="00935DB8">
            <w:r>
              <w:t>Ongoing</w:t>
            </w:r>
          </w:p>
        </w:tc>
      </w:tr>
      <w:tr w:rsidR="00BF278B" w14:paraId="4F3433DE" w14:textId="77777777" w:rsidTr="00935DB8">
        <w:tc>
          <w:tcPr>
            <w:tcW w:w="421" w:type="dxa"/>
          </w:tcPr>
          <w:p w14:paraId="24AEB768" w14:textId="77777777" w:rsidR="00BF278B" w:rsidRDefault="00BF278B" w:rsidP="00935DB8"/>
          <w:p w14:paraId="5DBEC4A1" w14:textId="77777777" w:rsidR="00BF278B" w:rsidRDefault="00BF278B" w:rsidP="00935DB8">
            <w:r>
              <w:t>5</w:t>
            </w:r>
          </w:p>
        </w:tc>
        <w:tc>
          <w:tcPr>
            <w:tcW w:w="6520" w:type="dxa"/>
          </w:tcPr>
          <w:p w14:paraId="261F7026" w14:textId="77777777" w:rsidR="00BF278B" w:rsidRDefault="00BF278B" w:rsidP="00935DB8">
            <w:pPr>
              <w:rPr>
                <w:b/>
                <w:bCs/>
                <w:u w:val="single"/>
              </w:rPr>
            </w:pPr>
            <w:r w:rsidRPr="00E158D0">
              <w:rPr>
                <w:b/>
                <w:bCs/>
                <w:u w:val="single"/>
              </w:rPr>
              <w:t>PCN Update</w:t>
            </w:r>
          </w:p>
          <w:p w14:paraId="1F1E320E" w14:textId="0B7D1F05" w:rsidR="00BF278B" w:rsidRDefault="000E6661" w:rsidP="00935DB8">
            <w:pPr>
              <w:pStyle w:val="ListParagraph"/>
              <w:numPr>
                <w:ilvl w:val="0"/>
                <w:numId w:val="7"/>
              </w:numPr>
            </w:pPr>
            <w:r>
              <w:t>ICB – no update</w:t>
            </w:r>
            <w:r w:rsidR="00703AE0">
              <w:t xml:space="preserve">. </w:t>
            </w:r>
            <w:r>
              <w:t>Confirmation of merger to support NHSE reduction of staffing</w:t>
            </w:r>
            <w:r w:rsidR="00703AE0">
              <w:t xml:space="preserve">. </w:t>
            </w:r>
            <w:r>
              <w:t>Lincolnshire ICB will be merged with Nottinghamshire and Derbyshire</w:t>
            </w:r>
            <w:r w:rsidR="00703AE0">
              <w:t xml:space="preserve">. </w:t>
            </w:r>
            <w:r>
              <w:t>No notification of any changes to contracts or contacts at the ICB.</w:t>
            </w:r>
          </w:p>
        </w:tc>
        <w:tc>
          <w:tcPr>
            <w:tcW w:w="3402" w:type="dxa"/>
          </w:tcPr>
          <w:p w14:paraId="64730B2A" w14:textId="77777777" w:rsidR="00BF278B" w:rsidRDefault="00BF278B" w:rsidP="00935DB8"/>
          <w:p w14:paraId="56047B2F" w14:textId="77777777" w:rsidR="00BF278B" w:rsidRDefault="00BF278B" w:rsidP="00935DB8"/>
          <w:p w14:paraId="2C80406C" w14:textId="7D5AE8C4" w:rsidR="000E6661" w:rsidRDefault="000E6661" w:rsidP="00935DB8">
            <w:r>
              <w:t>Ongoing</w:t>
            </w:r>
          </w:p>
        </w:tc>
      </w:tr>
      <w:tr w:rsidR="00BF278B" w14:paraId="15F5BF9A" w14:textId="77777777" w:rsidTr="00935DB8">
        <w:tc>
          <w:tcPr>
            <w:tcW w:w="421" w:type="dxa"/>
          </w:tcPr>
          <w:p w14:paraId="20B6B42D" w14:textId="77777777" w:rsidR="00BF278B" w:rsidRDefault="00BF278B" w:rsidP="00935DB8"/>
          <w:p w14:paraId="1C2AE4BD" w14:textId="77777777" w:rsidR="00BF278B" w:rsidRDefault="00BF278B" w:rsidP="00935DB8">
            <w:r>
              <w:t>6</w:t>
            </w:r>
          </w:p>
        </w:tc>
        <w:tc>
          <w:tcPr>
            <w:tcW w:w="6520" w:type="dxa"/>
          </w:tcPr>
          <w:p w14:paraId="737C86C8" w14:textId="77777777" w:rsidR="00BF278B" w:rsidRDefault="00BF278B" w:rsidP="00935DB8">
            <w:pPr>
              <w:rPr>
                <w:b/>
                <w:bCs/>
                <w:u w:val="single"/>
              </w:rPr>
            </w:pPr>
            <w:r w:rsidRPr="00710B7A">
              <w:rPr>
                <w:b/>
                <w:bCs/>
                <w:u w:val="single"/>
              </w:rPr>
              <w:t>AOB</w:t>
            </w:r>
          </w:p>
          <w:p w14:paraId="5EE6806F" w14:textId="77777777" w:rsidR="00303B6F" w:rsidRDefault="009B53CE" w:rsidP="009B53CE">
            <w:pPr>
              <w:pStyle w:val="ListParagraph"/>
              <w:numPr>
                <w:ilvl w:val="0"/>
                <w:numId w:val="8"/>
              </w:numPr>
            </w:pPr>
            <w:r>
              <w:t>Sleaford notice boards and gaps under clinical room doors – awaiting redecoration at Sleaford</w:t>
            </w:r>
            <w:r w:rsidR="00303B6F">
              <w:t>.</w:t>
            </w:r>
          </w:p>
          <w:p w14:paraId="7D281937" w14:textId="4287E327" w:rsidR="000E6661" w:rsidRDefault="00303B6F" w:rsidP="009B53CE">
            <w:pPr>
              <w:pStyle w:val="ListParagraph"/>
              <w:numPr>
                <w:ilvl w:val="0"/>
                <w:numId w:val="8"/>
              </w:numPr>
            </w:pPr>
            <w:r>
              <w:t>Sleaford notice boards – to be replaced as part of redecoration</w:t>
            </w:r>
            <w:r w:rsidR="00703AE0">
              <w:t xml:space="preserve">. </w:t>
            </w:r>
            <w:r>
              <w:t>Tatty notices in the entrance have been removed</w:t>
            </w:r>
            <w:r w:rsidR="00703AE0">
              <w:t xml:space="preserve">. </w:t>
            </w:r>
            <w:r w:rsidR="003E58F8">
              <w:t xml:space="preserve">It was noted that </w:t>
            </w:r>
            <w:r w:rsidR="00703AE0">
              <w:t>self-check</w:t>
            </w:r>
            <w:r w:rsidR="003E58F8">
              <w:t xml:space="preserve"> in screen in Sleaford is located in the waiting room and not in the entrance as in Heckington</w:t>
            </w:r>
            <w:r w:rsidR="00703AE0">
              <w:t xml:space="preserve">. </w:t>
            </w:r>
            <w:r w:rsidR="003E58F8">
              <w:t>Better signage was suggested.</w:t>
            </w:r>
          </w:p>
          <w:p w14:paraId="6767E359" w14:textId="4CD03142" w:rsidR="003E58F8" w:rsidRDefault="00947A36" w:rsidP="009B53CE">
            <w:pPr>
              <w:pStyle w:val="ListParagraph"/>
              <w:numPr>
                <w:ilvl w:val="0"/>
                <w:numId w:val="8"/>
              </w:numPr>
            </w:pPr>
            <w:r>
              <w:t>Role of PPG – A discussion was had regarding the role of the PPG and should it change in any way</w:t>
            </w:r>
            <w:r w:rsidR="00703AE0">
              <w:t xml:space="preserve">. </w:t>
            </w:r>
            <w:r>
              <w:t>Dr Shrouder and Claire expressed their thanks and praise for the level of involvement from the PPG</w:t>
            </w:r>
            <w:r w:rsidR="00703AE0">
              <w:t xml:space="preserve">. </w:t>
            </w:r>
            <w:r>
              <w:t>They are always happy to listen to suggestions or concerns from PPG</w:t>
            </w:r>
            <w:r w:rsidR="00703AE0">
              <w:t xml:space="preserve">. </w:t>
            </w:r>
            <w:r>
              <w:t xml:space="preserve">It was suggested that </w:t>
            </w:r>
            <w:r w:rsidR="00703AE0">
              <w:t>PPG</w:t>
            </w:r>
            <w:r>
              <w:t xml:space="preserve"> might like to occasionally meet without practice staff</w:t>
            </w:r>
            <w:r w:rsidR="00703AE0">
              <w:t xml:space="preserve">. </w:t>
            </w:r>
            <w:r>
              <w:t>It was unanimously agreed that all PPG members were quite happy to raise any concerns with practice staff present and to continue as we are.</w:t>
            </w:r>
          </w:p>
          <w:p w14:paraId="58397518" w14:textId="708C4E12" w:rsidR="001E02AE" w:rsidRDefault="00680341" w:rsidP="009B53CE">
            <w:pPr>
              <w:pStyle w:val="ListParagraph"/>
              <w:numPr>
                <w:ilvl w:val="0"/>
                <w:numId w:val="8"/>
              </w:numPr>
            </w:pPr>
            <w:r>
              <w:t xml:space="preserve">Alison (on behalf of Heckington Voluntary Car Scheme) thanked the practice for accommodating their coordinators and enabling the scheme to continue. </w:t>
            </w:r>
          </w:p>
          <w:p w14:paraId="0F474472" w14:textId="6399572F" w:rsidR="001A750F" w:rsidRDefault="001A750F" w:rsidP="009B53CE">
            <w:pPr>
              <w:pStyle w:val="ListParagraph"/>
              <w:numPr>
                <w:ilvl w:val="0"/>
                <w:numId w:val="8"/>
              </w:numPr>
            </w:pPr>
            <w:r>
              <w:t>Medical Equipment Fund – baby weighing scales for use on home visits have been purchased together with blood pressure monitors for loan to patients</w:t>
            </w:r>
            <w:r w:rsidR="00703AE0">
              <w:t xml:space="preserve">. </w:t>
            </w:r>
            <w:r>
              <w:t>Dr Shrouder expressed thanks to the Alison.</w:t>
            </w:r>
          </w:p>
          <w:p w14:paraId="438AB9C5" w14:textId="14AF81D5" w:rsidR="00F15E15" w:rsidRDefault="00F15E15" w:rsidP="009B53CE">
            <w:pPr>
              <w:pStyle w:val="ListParagraph"/>
              <w:numPr>
                <w:ilvl w:val="0"/>
                <w:numId w:val="8"/>
              </w:numPr>
            </w:pPr>
            <w:r>
              <w:t>It was explained that GPs do not have access to outpatient referral waiting lists.</w:t>
            </w:r>
          </w:p>
          <w:p w14:paraId="0B4B9913" w14:textId="469B33B7" w:rsidR="00BF278B" w:rsidRDefault="00F15E15" w:rsidP="00935DB8">
            <w:pPr>
              <w:pStyle w:val="ListParagraph"/>
              <w:numPr>
                <w:ilvl w:val="0"/>
                <w:numId w:val="8"/>
              </w:numPr>
            </w:pPr>
            <w:r>
              <w:t xml:space="preserve">The patient health pod located at Heckington is being </w:t>
            </w:r>
            <w:r w:rsidR="00C01D58">
              <w:t>used</w:t>
            </w:r>
            <w:r>
              <w:t xml:space="preserve"> by patients and has reduced the need for HSA appointments for blood pressure and weight checks.</w:t>
            </w:r>
          </w:p>
        </w:tc>
        <w:tc>
          <w:tcPr>
            <w:tcW w:w="3402" w:type="dxa"/>
          </w:tcPr>
          <w:p w14:paraId="6D3F5B32" w14:textId="77777777" w:rsidR="00BF278B" w:rsidRDefault="00BF278B" w:rsidP="00935DB8"/>
          <w:p w14:paraId="5B4BFF89" w14:textId="77777777" w:rsidR="00303B6F" w:rsidRDefault="009B53CE" w:rsidP="00303B6F">
            <w:r>
              <w:t>Ongoing</w:t>
            </w:r>
          </w:p>
          <w:p w14:paraId="7756324C" w14:textId="77777777" w:rsidR="00303B6F" w:rsidRDefault="00303B6F" w:rsidP="00303B6F"/>
          <w:p w14:paraId="3516E0AC" w14:textId="2E2D18DF" w:rsidR="00303B6F" w:rsidRDefault="00303B6F" w:rsidP="00303B6F">
            <w:r>
              <w:t>Ongoing</w:t>
            </w:r>
            <w:r w:rsidR="00207A26">
              <w:t xml:space="preserve"> </w:t>
            </w:r>
          </w:p>
          <w:p w14:paraId="63DE7CDA" w14:textId="77777777" w:rsidR="00207A26" w:rsidRDefault="00207A26" w:rsidP="00303B6F"/>
          <w:p w14:paraId="6E179AD7" w14:textId="77777777" w:rsidR="00207A26" w:rsidRDefault="00207A26" w:rsidP="00303B6F"/>
          <w:p w14:paraId="7304968C" w14:textId="77777777" w:rsidR="00207A26" w:rsidRDefault="00207A26" w:rsidP="00303B6F"/>
          <w:p w14:paraId="19387838" w14:textId="77777777" w:rsidR="00207A26" w:rsidRDefault="00207A26" w:rsidP="00303B6F"/>
          <w:p w14:paraId="1C5B585D" w14:textId="77777777" w:rsidR="00207A26" w:rsidRDefault="00207A26" w:rsidP="00303B6F"/>
          <w:p w14:paraId="47076416" w14:textId="77777777" w:rsidR="00207A26" w:rsidRDefault="00207A26" w:rsidP="00303B6F"/>
          <w:p w14:paraId="6E3C2F76" w14:textId="040ACA02" w:rsidR="00207A26" w:rsidRDefault="00207A26" w:rsidP="00303B6F">
            <w:r>
              <w:t>To be monitored</w:t>
            </w:r>
          </w:p>
        </w:tc>
      </w:tr>
      <w:tr w:rsidR="00BF278B" w14:paraId="1629DAB3" w14:textId="77777777" w:rsidTr="00935DB8">
        <w:tc>
          <w:tcPr>
            <w:tcW w:w="421" w:type="dxa"/>
          </w:tcPr>
          <w:p w14:paraId="0FC422A2" w14:textId="77777777" w:rsidR="00BF278B" w:rsidRDefault="00BF278B" w:rsidP="00935DB8"/>
        </w:tc>
        <w:tc>
          <w:tcPr>
            <w:tcW w:w="6520" w:type="dxa"/>
          </w:tcPr>
          <w:p w14:paraId="7271505A" w14:textId="06750138" w:rsidR="00BF278B" w:rsidRDefault="00BF278B" w:rsidP="00935DB8">
            <w:r>
              <w:t>Ne</w:t>
            </w:r>
            <w:r w:rsidR="00F15E15">
              <w:t>x</w:t>
            </w:r>
            <w:r>
              <w:t>t meeting</w:t>
            </w:r>
            <w:r w:rsidR="00F15E15">
              <w:t>:  Wednesday 25</w:t>
            </w:r>
            <w:r w:rsidR="00F15E15" w:rsidRPr="00F15E15">
              <w:rPr>
                <w:vertAlign w:val="superscript"/>
              </w:rPr>
              <w:t>th</w:t>
            </w:r>
            <w:r w:rsidR="00F15E15">
              <w:t xml:space="preserve"> February 2026</w:t>
            </w:r>
          </w:p>
        </w:tc>
        <w:tc>
          <w:tcPr>
            <w:tcW w:w="3402" w:type="dxa"/>
          </w:tcPr>
          <w:p w14:paraId="0024930C" w14:textId="51BC7DCF" w:rsidR="00BF278B" w:rsidRDefault="00BF278B" w:rsidP="00935DB8">
            <w:r>
              <w:t>@18:00</w:t>
            </w:r>
          </w:p>
        </w:tc>
      </w:tr>
      <w:bookmarkEnd w:id="0"/>
    </w:tbl>
    <w:p w14:paraId="5EB7C65D" w14:textId="77777777" w:rsidR="00BF278B" w:rsidRDefault="00BF278B" w:rsidP="00BF278B"/>
    <w:p w14:paraId="2312645A" w14:textId="77777777" w:rsidR="00086BCA" w:rsidRDefault="00086BCA"/>
    <w:sectPr w:rsidR="00086BCA" w:rsidSect="00BF278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AB36" w14:textId="77777777" w:rsidR="002F1AD0" w:rsidRDefault="002F1AD0">
      <w:pPr>
        <w:spacing w:after="0" w:line="240" w:lineRule="auto"/>
      </w:pPr>
      <w:r>
        <w:separator/>
      </w:r>
    </w:p>
  </w:endnote>
  <w:endnote w:type="continuationSeparator" w:id="0">
    <w:p w14:paraId="2E68EA6C" w14:textId="77777777" w:rsidR="002F1AD0" w:rsidRDefault="002F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F85C" w14:textId="77777777" w:rsidR="002F1AD0" w:rsidRDefault="002F1AD0">
      <w:pPr>
        <w:spacing w:after="0" w:line="240" w:lineRule="auto"/>
      </w:pPr>
      <w:r>
        <w:separator/>
      </w:r>
    </w:p>
  </w:footnote>
  <w:footnote w:type="continuationSeparator" w:id="0">
    <w:p w14:paraId="04436BDE" w14:textId="77777777" w:rsidR="002F1AD0" w:rsidRDefault="002F1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D4FA" w14:textId="77777777" w:rsidR="00BF278B" w:rsidRDefault="00BF278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1A01C22" wp14:editId="066427A3">
              <wp:simplePos x="0" y="0"/>
              <wp:positionH relativeFrom="column">
                <wp:posOffset>-445007</wp:posOffset>
              </wp:positionH>
              <wp:positionV relativeFrom="paragraph">
                <wp:posOffset>-826289</wp:posOffset>
              </wp:positionV>
              <wp:extent cx="2011680" cy="2855595"/>
              <wp:effectExtent l="2540" t="0" r="889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011680" cy="2855595"/>
                        <a:chOff x="1081524" y="1056483"/>
                        <a:chExt cx="20116" cy="28557"/>
                      </a:xfrm>
                    </wpg:grpSpPr>
                    <wps:wsp>
                      <wps:cNvPr id="2" name="AutoShape 2"/>
                      <wps:cNvSpPr>
                        <a:spLocks noChangeArrowheads="1"/>
                      </wps:cNvSpPr>
                      <wps:spPr bwMode="auto">
                        <a:xfrm>
                          <a:off x="1081524" y="1068019"/>
                          <a:ext cx="14349" cy="17022"/>
                        </a:xfrm>
                        <a:prstGeom prst="rtTriangle">
                          <a:avLst/>
                        </a:prstGeom>
                        <a:solidFill>
                          <a:srgbClr val="339966">
                            <a:alpha val="50000"/>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 name="AutoShape 3"/>
                      <wps:cNvSpPr>
                        <a:spLocks noChangeArrowheads="1"/>
                      </wps:cNvSpPr>
                      <wps:spPr bwMode="auto">
                        <a:xfrm>
                          <a:off x="1081524" y="1056483"/>
                          <a:ext cx="10410" cy="28558"/>
                        </a:xfrm>
                        <a:prstGeom prst="rtTriangle">
                          <a:avLst/>
                        </a:prstGeom>
                        <a:solidFill>
                          <a:srgbClr val="339966">
                            <a:alpha val="30000"/>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 name="AutoShape 4"/>
                      <wps:cNvSpPr>
                        <a:spLocks noChangeArrowheads="1"/>
                      </wps:cNvSpPr>
                      <wps:spPr bwMode="auto">
                        <a:xfrm>
                          <a:off x="1081524" y="1068019"/>
                          <a:ext cx="20116" cy="17022"/>
                        </a:xfrm>
                        <a:prstGeom prst="rtTriangle">
                          <a:avLst/>
                        </a:prstGeom>
                        <a:solidFill>
                          <a:srgbClr val="339966">
                            <a:alpha val="1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417DA" id="Group 1" o:spid="_x0000_s1026" style="position:absolute;margin-left:-35.05pt;margin-top:-65.05pt;width:158.4pt;height:224.85pt;rotation:90;z-index:251659264" coordorigin="10815,10564" coordsize="20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">
              <v:shapetype id="_x0000_t6" coordsize="21600,21600" o:spt="6" path="m,l,21600r21600,xe">
                <v:stroke joinstyle="miter"/>
                <v:path gradientshapeok="t" o:connecttype="custom" o:connectlocs="0,0;0,10800;0,21600;10800,21600;21600,21600;10800,10800" textboxrect="1800,12600,12600,19800"/>
              </v:shapetype>
              <v:shape id="AutoShape 2" o:spid="_x0000_s1027" type="#_x0000_t6" style="position:absolute;left:10815;top:10680;width:143;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" fillcolor="#396" stroked="f" strokecolor="black [0]" strokeweight="2pt">
                <v:fill opacity="32896f"/>
                <v:shadow color="black [0]"/>
                <v:textbox inset="2.88pt,2.88pt,2.88pt,2.88pt"/>
              </v:shape>
              <v:shape id="AutoShape 3" o:spid="_x0000_s1028" type="#_x0000_t6" style="position:absolute;left:10815;top:10564;width:104;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" fillcolor="#396" stroked="f" strokecolor="black [0]" strokeweight="2pt">
                <v:fill opacity="19789f"/>
                <v:shadow color="black [0]"/>
                <v:textbox inset="2.88pt,2.88pt,2.88pt,2.88pt"/>
              </v:shape>
              <v:shape id="AutoShape 4" o:spid="_x0000_s1029" type="#_x0000_t6" style="position:absolute;left:10815;top:10680;width:20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" fillcolor="#396" stroked="f" strokecolor="black [0]" strokeweight="2pt">
                <v:fill opacity="6682f"/>
                <v:shadow color="black [0]"/>
                <v:textbox inset="2.88pt,2.88pt,2.88pt,2.88pt"/>
              </v:shape>
            </v:group>
          </w:pict>
        </mc:Fallback>
      </mc:AlternateContent>
    </w:r>
    <w:r>
      <w:ptab w:relativeTo="margin" w:alignment="center" w:leader="none"/>
    </w:r>
    <w:r>
      <w:ptab w:relativeTo="margin" w:alignment="right" w:leader="none"/>
    </w:r>
    <w:r>
      <w:rPr>
        <w:noProof/>
      </w:rPr>
      <w:drawing>
        <wp:inline distT="0" distB="0" distL="0" distR="0" wp14:anchorId="4B513F2D" wp14:editId="06F18C93">
          <wp:extent cx="1054672" cy="480546"/>
          <wp:effectExtent l="0" t="0" r="0" b="0"/>
          <wp:docPr id="5" name="Picture 5"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c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7554" cy="495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B6C"/>
    <w:multiLevelType w:val="hybridMultilevel"/>
    <w:tmpl w:val="81E6EC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F15D7"/>
    <w:multiLevelType w:val="hybridMultilevel"/>
    <w:tmpl w:val="1722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537765"/>
    <w:multiLevelType w:val="hybridMultilevel"/>
    <w:tmpl w:val="AB9638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DD59CC"/>
    <w:multiLevelType w:val="hybridMultilevel"/>
    <w:tmpl w:val="3D1A88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A1E82"/>
    <w:multiLevelType w:val="hybridMultilevel"/>
    <w:tmpl w:val="2146C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7772CA"/>
    <w:multiLevelType w:val="hybridMultilevel"/>
    <w:tmpl w:val="0EAE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97891"/>
    <w:multiLevelType w:val="hybridMultilevel"/>
    <w:tmpl w:val="3828A1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8564CED"/>
    <w:multiLevelType w:val="hybridMultilevel"/>
    <w:tmpl w:val="DEBC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659298">
    <w:abstractNumId w:val="5"/>
  </w:num>
  <w:num w:numId="2" w16cid:durableId="813564514">
    <w:abstractNumId w:val="1"/>
  </w:num>
  <w:num w:numId="3" w16cid:durableId="384988617">
    <w:abstractNumId w:val="6"/>
  </w:num>
  <w:num w:numId="4" w16cid:durableId="1652632539">
    <w:abstractNumId w:val="3"/>
  </w:num>
  <w:num w:numId="5" w16cid:durableId="2047833626">
    <w:abstractNumId w:val="0"/>
  </w:num>
  <w:num w:numId="6" w16cid:durableId="143283768">
    <w:abstractNumId w:val="7"/>
  </w:num>
  <w:num w:numId="7" w16cid:durableId="1148866939">
    <w:abstractNumId w:val="2"/>
  </w:num>
  <w:num w:numId="8" w16cid:durableId="1847019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8B"/>
    <w:rsid w:val="00086BCA"/>
    <w:rsid w:val="000E6661"/>
    <w:rsid w:val="001066AA"/>
    <w:rsid w:val="001A750F"/>
    <w:rsid w:val="001E02AE"/>
    <w:rsid w:val="00207A26"/>
    <w:rsid w:val="00227BE0"/>
    <w:rsid w:val="002F1AD0"/>
    <w:rsid w:val="00303B6F"/>
    <w:rsid w:val="0031110A"/>
    <w:rsid w:val="00335C06"/>
    <w:rsid w:val="003E58F8"/>
    <w:rsid w:val="00473460"/>
    <w:rsid w:val="004E27F2"/>
    <w:rsid w:val="00571F03"/>
    <w:rsid w:val="00680341"/>
    <w:rsid w:val="00703AE0"/>
    <w:rsid w:val="00774EA5"/>
    <w:rsid w:val="00797E82"/>
    <w:rsid w:val="0091564A"/>
    <w:rsid w:val="00947A36"/>
    <w:rsid w:val="009B53CE"/>
    <w:rsid w:val="009D653F"/>
    <w:rsid w:val="00B60196"/>
    <w:rsid w:val="00B65677"/>
    <w:rsid w:val="00BF278B"/>
    <w:rsid w:val="00C01D58"/>
    <w:rsid w:val="00CC7799"/>
    <w:rsid w:val="00E244E5"/>
    <w:rsid w:val="00EA2EEF"/>
    <w:rsid w:val="00ED0A89"/>
    <w:rsid w:val="00F04B2F"/>
    <w:rsid w:val="00F15E15"/>
    <w:rsid w:val="00F5787F"/>
    <w:rsid w:val="00FD4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33C7"/>
  <w15:chartTrackingRefBased/>
  <w15:docId w15:val="{BAF4BAE7-FEE8-4F31-9E1E-9F51C880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78B"/>
    <w:rPr>
      <w:kern w:val="0"/>
      <w14:ligatures w14:val="none"/>
    </w:rPr>
  </w:style>
  <w:style w:type="paragraph" w:styleId="Heading1">
    <w:name w:val="heading 1"/>
    <w:basedOn w:val="Normal"/>
    <w:next w:val="Normal"/>
    <w:link w:val="Heading1Char"/>
    <w:uiPriority w:val="9"/>
    <w:qFormat/>
    <w:rsid w:val="00BF2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78B"/>
    <w:rPr>
      <w:rFonts w:eastAsiaTheme="majorEastAsia" w:cstheme="majorBidi"/>
      <w:color w:val="272727" w:themeColor="text1" w:themeTint="D8"/>
    </w:rPr>
  </w:style>
  <w:style w:type="paragraph" w:styleId="Title">
    <w:name w:val="Title"/>
    <w:basedOn w:val="Normal"/>
    <w:next w:val="Normal"/>
    <w:link w:val="TitleChar"/>
    <w:uiPriority w:val="10"/>
    <w:qFormat/>
    <w:rsid w:val="00BF2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78B"/>
    <w:pPr>
      <w:spacing w:before="160"/>
      <w:jc w:val="center"/>
    </w:pPr>
    <w:rPr>
      <w:i/>
      <w:iCs/>
      <w:color w:val="404040" w:themeColor="text1" w:themeTint="BF"/>
    </w:rPr>
  </w:style>
  <w:style w:type="character" w:customStyle="1" w:styleId="QuoteChar">
    <w:name w:val="Quote Char"/>
    <w:basedOn w:val="DefaultParagraphFont"/>
    <w:link w:val="Quote"/>
    <w:uiPriority w:val="29"/>
    <w:rsid w:val="00BF278B"/>
    <w:rPr>
      <w:i/>
      <w:iCs/>
      <w:color w:val="404040" w:themeColor="text1" w:themeTint="BF"/>
    </w:rPr>
  </w:style>
  <w:style w:type="paragraph" w:styleId="ListParagraph">
    <w:name w:val="List Paragraph"/>
    <w:basedOn w:val="Normal"/>
    <w:uiPriority w:val="34"/>
    <w:qFormat/>
    <w:rsid w:val="00BF278B"/>
    <w:pPr>
      <w:ind w:left="720"/>
      <w:contextualSpacing/>
    </w:pPr>
  </w:style>
  <w:style w:type="character" w:styleId="IntenseEmphasis">
    <w:name w:val="Intense Emphasis"/>
    <w:basedOn w:val="DefaultParagraphFont"/>
    <w:uiPriority w:val="21"/>
    <w:qFormat/>
    <w:rsid w:val="00BF278B"/>
    <w:rPr>
      <w:i/>
      <w:iCs/>
      <w:color w:val="0F4761" w:themeColor="accent1" w:themeShade="BF"/>
    </w:rPr>
  </w:style>
  <w:style w:type="paragraph" w:styleId="IntenseQuote">
    <w:name w:val="Intense Quote"/>
    <w:basedOn w:val="Normal"/>
    <w:next w:val="Normal"/>
    <w:link w:val="IntenseQuoteChar"/>
    <w:uiPriority w:val="30"/>
    <w:qFormat/>
    <w:rsid w:val="00BF2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78B"/>
    <w:rPr>
      <w:i/>
      <w:iCs/>
      <w:color w:val="0F4761" w:themeColor="accent1" w:themeShade="BF"/>
    </w:rPr>
  </w:style>
  <w:style w:type="character" w:styleId="IntenseReference">
    <w:name w:val="Intense Reference"/>
    <w:basedOn w:val="DefaultParagraphFont"/>
    <w:uiPriority w:val="32"/>
    <w:qFormat/>
    <w:rsid w:val="00BF278B"/>
    <w:rPr>
      <w:b/>
      <w:bCs/>
      <w:smallCaps/>
      <w:color w:val="0F4761" w:themeColor="accent1" w:themeShade="BF"/>
      <w:spacing w:val="5"/>
    </w:rPr>
  </w:style>
  <w:style w:type="paragraph" w:styleId="Header">
    <w:name w:val="header"/>
    <w:basedOn w:val="Normal"/>
    <w:link w:val="HeaderChar"/>
    <w:uiPriority w:val="99"/>
    <w:unhideWhenUsed/>
    <w:rsid w:val="00BF2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78B"/>
    <w:rPr>
      <w:kern w:val="0"/>
      <w14:ligatures w14:val="none"/>
    </w:rPr>
  </w:style>
  <w:style w:type="table" w:styleId="TableGrid">
    <w:name w:val="Table Grid"/>
    <w:basedOn w:val="TableNormal"/>
    <w:uiPriority w:val="39"/>
    <w:rsid w:val="00BF27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Dawe</dc:creator>
  <cp:keywords/>
  <dc:description/>
  <cp:lastModifiedBy>TOMLINSON, Jennie (MILLVIEW MEDICAL CENTRE)</cp:lastModifiedBy>
  <cp:revision>2</cp:revision>
  <dcterms:created xsi:type="dcterms:W3CDTF">2025-12-29T14:48:00Z</dcterms:created>
  <dcterms:modified xsi:type="dcterms:W3CDTF">2025-12-29T14:48:00Z</dcterms:modified>
</cp:coreProperties>
</file>