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2740"/>
        <w:gridCol w:w="3679"/>
      </w:tblGrid>
      <w:tr w:rsidR="00274E2A" w14:paraId="379F6F62" w14:textId="77777777" w:rsidTr="00274E2A">
        <w:tc>
          <w:tcPr>
            <w:tcW w:w="3209" w:type="dxa"/>
          </w:tcPr>
          <w:p w14:paraId="61586B06" w14:textId="77777777" w:rsidR="00274E2A" w:rsidRDefault="00274E2A" w:rsidP="00274E2A">
            <w:pPr>
              <w:jc w:val="center"/>
              <w:outlineLvl w:val="1"/>
              <w:rPr>
                <w:rFonts w:ascii="Segoe UI" w:hAnsi="Segoe UI" w:cs="Segoe UI"/>
                <w:b/>
                <w:bCs/>
                <w:sz w:val="36"/>
                <w:szCs w:val="36"/>
              </w:rPr>
            </w:pPr>
            <w:r>
              <w:rPr>
                <w:rFonts w:ascii="Segoe UI" w:hAnsi="Segoe UI" w:cs="Segoe UI"/>
                <w:b/>
                <w:bCs/>
                <w:noProof/>
                <w:sz w:val="36"/>
                <w:szCs w:val="36"/>
              </w:rPr>
              <w:drawing>
                <wp:inline distT="0" distB="0" distL="0" distR="0" wp14:anchorId="294A6C64" wp14:editId="272CFE03">
                  <wp:extent cx="1737360" cy="792480"/>
                  <wp:effectExtent l="0" t="0" r="0" b="7620"/>
                  <wp:docPr id="71139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792480"/>
                          </a:xfrm>
                          <a:prstGeom prst="rect">
                            <a:avLst/>
                          </a:prstGeom>
                          <a:noFill/>
                        </pic:spPr>
                      </pic:pic>
                    </a:graphicData>
                  </a:graphic>
                </wp:inline>
              </w:drawing>
            </w:r>
          </w:p>
          <w:p w14:paraId="351B0CF1" w14:textId="0230DCBD" w:rsidR="00274E2A" w:rsidRPr="00274E2A" w:rsidRDefault="00274E2A" w:rsidP="00274E2A">
            <w:pPr>
              <w:jc w:val="center"/>
              <w:outlineLvl w:val="1"/>
              <w:rPr>
                <w:rFonts w:ascii="Segoe UI" w:hAnsi="Segoe UI" w:cs="Segoe UI"/>
                <w:sz w:val="36"/>
                <w:szCs w:val="36"/>
              </w:rPr>
            </w:pPr>
            <w:r w:rsidRPr="00274E2A">
              <w:rPr>
                <w:rFonts w:ascii="Segoe UI" w:hAnsi="Segoe UI" w:cs="Segoe UI"/>
                <w:sz w:val="22"/>
                <w:szCs w:val="22"/>
              </w:rPr>
              <w:t>MILLVIEW MEDICAL CENTRE</w:t>
            </w:r>
          </w:p>
        </w:tc>
        <w:tc>
          <w:tcPr>
            <w:tcW w:w="2740" w:type="dxa"/>
          </w:tcPr>
          <w:p w14:paraId="69CC4500" w14:textId="77777777" w:rsidR="00274E2A" w:rsidRDefault="00274E2A" w:rsidP="00274E2A">
            <w:pPr>
              <w:jc w:val="center"/>
              <w:outlineLvl w:val="1"/>
              <w:rPr>
                <w:rFonts w:ascii="Segoe UI" w:hAnsi="Segoe UI" w:cs="Segoe UI"/>
                <w:b/>
                <w:bCs/>
                <w:sz w:val="36"/>
                <w:szCs w:val="36"/>
              </w:rPr>
            </w:pPr>
          </w:p>
        </w:tc>
        <w:tc>
          <w:tcPr>
            <w:tcW w:w="3679" w:type="dxa"/>
          </w:tcPr>
          <w:p w14:paraId="409F7337" w14:textId="77777777" w:rsidR="00274E2A" w:rsidRPr="00274E2A" w:rsidRDefault="00274E2A" w:rsidP="00274E2A">
            <w:pPr>
              <w:tabs>
                <w:tab w:val="left" w:pos="1451"/>
              </w:tabs>
              <w:rPr>
                <w:rFonts w:ascii="Aptos" w:hAnsi="Aptos" w:cs="Aptos"/>
                <w:color w:val="000000"/>
                <w:sz w:val="16"/>
                <w:szCs w:val="16"/>
              </w:rPr>
            </w:pPr>
            <w:r w:rsidRPr="00274E2A">
              <w:rPr>
                <w:rFonts w:ascii="Aptos" w:hAnsi="Aptos" w:cs="Aptos"/>
                <w:color w:val="000000"/>
                <w:sz w:val="16"/>
                <w:szCs w:val="16"/>
              </w:rPr>
              <w:t>Dr R Shrouder (GMC No. 3614576)</w:t>
            </w:r>
          </w:p>
          <w:p w14:paraId="4013E02B" w14:textId="77777777" w:rsidR="00274E2A" w:rsidRPr="00274E2A" w:rsidRDefault="00274E2A" w:rsidP="00274E2A">
            <w:pPr>
              <w:tabs>
                <w:tab w:val="left" w:pos="1451"/>
              </w:tabs>
              <w:rPr>
                <w:rFonts w:ascii="Aptos" w:hAnsi="Aptos" w:cs="Aptos"/>
                <w:color w:val="000000"/>
                <w:sz w:val="16"/>
                <w:szCs w:val="16"/>
              </w:rPr>
            </w:pPr>
            <w:r w:rsidRPr="00274E2A">
              <w:rPr>
                <w:rFonts w:ascii="Aptos" w:hAnsi="Aptos" w:cs="Aptos"/>
                <w:color w:val="000000"/>
                <w:sz w:val="16"/>
                <w:szCs w:val="16"/>
              </w:rPr>
              <w:t>Dr P Kasinathan (GMC No. 5179969)</w:t>
            </w:r>
          </w:p>
          <w:p w14:paraId="558BADA2" w14:textId="77777777" w:rsidR="00274E2A" w:rsidRPr="00274E2A" w:rsidRDefault="00274E2A" w:rsidP="00274E2A">
            <w:pPr>
              <w:tabs>
                <w:tab w:val="left" w:pos="1451"/>
              </w:tabs>
              <w:rPr>
                <w:rFonts w:ascii="Aptos" w:hAnsi="Aptos" w:cs="Aptos"/>
                <w:color w:val="000000"/>
                <w:sz w:val="16"/>
                <w:szCs w:val="16"/>
              </w:rPr>
            </w:pPr>
            <w:r w:rsidRPr="00274E2A">
              <w:rPr>
                <w:rFonts w:ascii="Aptos" w:hAnsi="Aptos" w:cs="Aptos"/>
                <w:color w:val="000000"/>
                <w:sz w:val="16"/>
                <w:szCs w:val="16"/>
              </w:rPr>
              <w:t>Dr A Revu (GMC No. 6047673)</w:t>
            </w:r>
          </w:p>
          <w:p w14:paraId="6A90FBC9" w14:textId="77777777" w:rsidR="00274E2A" w:rsidRPr="00274E2A" w:rsidRDefault="00274E2A" w:rsidP="00274E2A">
            <w:pPr>
              <w:tabs>
                <w:tab w:val="left" w:pos="1451"/>
              </w:tabs>
              <w:rPr>
                <w:rFonts w:ascii="Aptos" w:hAnsi="Aptos" w:cs="Aptos"/>
                <w:bCs/>
                <w:color w:val="000000"/>
                <w:sz w:val="16"/>
                <w:szCs w:val="16"/>
              </w:rPr>
            </w:pPr>
            <w:r w:rsidRPr="00274E2A">
              <w:rPr>
                <w:rFonts w:ascii="Aptos" w:hAnsi="Aptos" w:cs="Aptos"/>
                <w:bCs/>
                <w:color w:val="000000"/>
                <w:sz w:val="16"/>
                <w:szCs w:val="16"/>
              </w:rPr>
              <w:t>Mrs C Shrouder, Lead Nurse (NMC No. 91I0094E)</w:t>
            </w:r>
          </w:p>
          <w:p w14:paraId="5718495A" w14:textId="77777777" w:rsidR="00274E2A" w:rsidRPr="00274E2A" w:rsidRDefault="00274E2A" w:rsidP="00274E2A">
            <w:pPr>
              <w:tabs>
                <w:tab w:val="left" w:pos="1451"/>
              </w:tabs>
              <w:rPr>
                <w:rFonts w:ascii="Aptos" w:hAnsi="Aptos" w:cs="Aptos"/>
                <w:bCs/>
                <w:color w:val="000000"/>
                <w:sz w:val="16"/>
                <w:szCs w:val="16"/>
              </w:rPr>
            </w:pPr>
          </w:p>
          <w:p w14:paraId="5C800DD4" w14:textId="59C2DAC9" w:rsidR="00274E2A" w:rsidRDefault="00274E2A" w:rsidP="00274E2A">
            <w:pPr>
              <w:outlineLvl w:val="1"/>
              <w:rPr>
                <w:rFonts w:ascii="Segoe UI" w:hAnsi="Segoe UI" w:cs="Segoe UI"/>
                <w:b/>
                <w:bCs/>
                <w:sz w:val="36"/>
                <w:szCs w:val="36"/>
              </w:rPr>
            </w:pPr>
            <w:r w:rsidRPr="00274E2A">
              <w:rPr>
                <w:rFonts w:ascii="Aptos" w:hAnsi="Aptos" w:cs="Aptos"/>
                <w:bCs/>
                <w:color w:val="000000"/>
                <w:sz w:val="16"/>
                <w:szCs w:val="16"/>
              </w:rPr>
              <w:t>www.millviewmedicalcentre.co.uk</w:t>
            </w:r>
          </w:p>
        </w:tc>
      </w:tr>
    </w:tbl>
    <w:p w14:paraId="3E6E76D3" w14:textId="4C1A7DE7" w:rsidR="00274E2A" w:rsidRPr="00274E2A" w:rsidRDefault="00274E2A" w:rsidP="00274E2A">
      <w:pPr>
        <w:jc w:val="center"/>
        <w:outlineLvl w:val="1"/>
        <w:rPr>
          <w:rFonts w:ascii="Segoe UI" w:hAnsi="Segoe UI" w:cs="Segoe UI"/>
          <w:b/>
          <w:bCs/>
          <w:sz w:val="36"/>
          <w:szCs w:val="36"/>
        </w:rPr>
      </w:pPr>
      <w:r w:rsidRPr="00274E2A">
        <w:rPr>
          <w:rFonts w:ascii="Segoe UI" w:hAnsi="Segoe UI" w:cs="Segoe UI"/>
          <w:b/>
          <w:bCs/>
          <w:sz w:val="36"/>
          <w:szCs w:val="36"/>
        </w:rPr>
        <w:t>Conflict of Interest Declaration</w:t>
      </w:r>
    </w:p>
    <w:p w14:paraId="2ED14DF3" w14:textId="77777777" w:rsidR="00274E2A" w:rsidRPr="00274E2A" w:rsidRDefault="00274E2A" w:rsidP="00274E2A">
      <w:pPr>
        <w:outlineLvl w:val="2"/>
        <w:rPr>
          <w:rFonts w:ascii="Segoe UI" w:hAnsi="Segoe UI" w:cs="Segoe UI"/>
          <w:b/>
          <w:bCs/>
          <w:sz w:val="22"/>
          <w:szCs w:val="22"/>
        </w:rPr>
      </w:pPr>
      <w:r w:rsidRPr="00274E2A">
        <w:rPr>
          <w:rFonts w:ascii="Segoe UI" w:hAnsi="Segoe UI" w:cs="Segoe UI"/>
          <w:b/>
          <w:bCs/>
          <w:sz w:val="22"/>
          <w:szCs w:val="22"/>
        </w:rPr>
        <w:t>Our Commitment to Transparency</w:t>
      </w:r>
    </w:p>
    <w:p w14:paraId="2EA84031" w14:textId="11D2FF78" w:rsidR="00274E2A" w:rsidRPr="00274E2A" w:rsidRDefault="00274E2A" w:rsidP="00274E2A">
      <w:pPr>
        <w:rPr>
          <w:rFonts w:ascii="Segoe UI" w:hAnsi="Segoe UI" w:cs="Segoe UI"/>
          <w:sz w:val="18"/>
          <w:szCs w:val="18"/>
        </w:rPr>
      </w:pPr>
      <w:r w:rsidRPr="00274E2A">
        <w:rPr>
          <w:rFonts w:ascii="Segoe UI" w:hAnsi="Segoe UI" w:cs="Segoe UI"/>
          <w:sz w:val="20"/>
          <w:szCs w:val="20"/>
        </w:rPr>
        <w:t xml:space="preserve">At </w:t>
      </w:r>
      <w:r w:rsidRPr="00274E2A">
        <w:rPr>
          <w:rFonts w:ascii="Segoe UI" w:hAnsi="Segoe UI" w:cs="Segoe UI"/>
          <w:sz w:val="20"/>
          <w:szCs w:val="20"/>
        </w:rPr>
        <w:t>Millview Medical Centre</w:t>
      </w:r>
      <w:r w:rsidRPr="00274E2A">
        <w:rPr>
          <w:rFonts w:ascii="Segoe UI" w:hAnsi="Segoe UI" w:cs="Segoe UI"/>
          <w:sz w:val="20"/>
          <w:szCs w:val="20"/>
        </w:rPr>
        <w:t>, we are committed to providing high-quality, patient-centred care. We believe it is important to be open and transparent about any interests that could influence, or be perceived to influence, our clinical decisions</w:t>
      </w:r>
      <w:r w:rsidRPr="00274E2A">
        <w:rPr>
          <w:rFonts w:ascii="Segoe UI" w:hAnsi="Segoe UI" w:cs="Segoe UI"/>
          <w:sz w:val="18"/>
          <w:szCs w:val="18"/>
        </w:rPr>
        <w:t>.</w:t>
      </w:r>
    </w:p>
    <w:p w14:paraId="07B35446" w14:textId="77777777" w:rsidR="00274E2A" w:rsidRPr="00274E2A" w:rsidRDefault="00274E2A" w:rsidP="00274E2A">
      <w:pPr>
        <w:outlineLvl w:val="2"/>
        <w:rPr>
          <w:rFonts w:ascii="Segoe UI" w:hAnsi="Segoe UI" w:cs="Segoe UI"/>
          <w:b/>
          <w:bCs/>
          <w:sz w:val="22"/>
          <w:szCs w:val="22"/>
        </w:rPr>
      </w:pPr>
      <w:r w:rsidRPr="00274E2A">
        <w:rPr>
          <w:rFonts w:ascii="Segoe UI" w:hAnsi="Segoe UI" w:cs="Segoe UI"/>
          <w:b/>
          <w:bCs/>
          <w:sz w:val="22"/>
          <w:szCs w:val="22"/>
        </w:rPr>
        <w:t>Declaration of Interest</w:t>
      </w:r>
    </w:p>
    <w:p w14:paraId="05B4A4F3" w14:textId="77777777" w:rsidR="00274E2A" w:rsidRPr="00274E2A" w:rsidRDefault="00274E2A" w:rsidP="00274E2A">
      <w:pPr>
        <w:rPr>
          <w:rFonts w:ascii="Segoe UI" w:hAnsi="Segoe UI" w:cs="Segoe UI"/>
          <w:sz w:val="20"/>
          <w:szCs w:val="20"/>
        </w:rPr>
      </w:pPr>
      <w:r w:rsidRPr="00274E2A">
        <w:rPr>
          <w:rFonts w:ascii="Segoe UI" w:hAnsi="Segoe UI" w:cs="Segoe UI"/>
          <w:sz w:val="20"/>
          <w:szCs w:val="20"/>
        </w:rPr>
        <w:t>We wish to inform our patients that:</w:t>
      </w:r>
    </w:p>
    <w:p w14:paraId="7E28B57F" w14:textId="67F68B26" w:rsidR="00274E2A" w:rsidRPr="00274E2A" w:rsidRDefault="00274E2A" w:rsidP="00274E2A">
      <w:pPr>
        <w:numPr>
          <w:ilvl w:val="0"/>
          <w:numId w:val="1"/>
        </w:numPr>
        <w:rPr>
          <w:rFonts w:ascii="Segoe UI" w:hAnsi="Segoe UI" w:cs="Segoe UI"/>
          <w:sz w:val="20"/>
          <w:szCs w:val="20"/>
        </w:rPr>
      </w:pPr>
      <w:r w:rsidRPr="00274E2A">
        <w:rPr>
          <w:rFonts w:ascii="Segoe UI" w:hAnsi="Segoe UI" w:cs="Segoe UI"/>
          <w:sz w:val="20"/>
          <w:szCs w:val="20"/>
        </w:rPr>
        <w:t>Millview Medical Centre</w:t>
      </w:r>
      <w:r w:rsidRPr="00274E2A">
        <w:rPr>
          <w:rFonts w:ascii="Segoe UI" w:hAnsi="Segoe UI" w:cs="Segoe UI"/>
          <w:sz w:val="20"/>
          <w:szCs w:val="20"/>
        </w:rPr>
        <w:t xml:space="preserve">, or one or more of our GPs/partners, has a financial interest (shareholding) in </w:t>
      </w:r>
      <w:r w:rsidRPr="00274E2A">
        <w:rPr>
          <w:rFonts w:ascii="Segoe UI" w:hAnsi="Segoe UI" w:cs="Segoe UI"/>
          <w:b/>
          <w:bCs/>
          <w:sz w:val="20"/>
          <w:szCs w:val="20"/>
        </w:rPr>
        <w:t>Newton Pharmacy</w:t>
      </w:r>
      <w:r w:rsidRPr="00274E2A">
        <w:rPr>
          <w:rFonts w:ascii="Segoe UI" w:hAnsi="Segoe UI" w:cs="Segoe UI"/>
          <w:sz w:val="20"/>
          <w:szCs w:val="20"/>
        </w:rPr>
        <w:t xml:space="preserve"> a local community distance-selling pharmacy.</w:t>
      </w:r>
    </w:p>
    <w:p w14:paraId="7AC7C451" w14:textId="77777777" w:rsidR="00274E2A" w:rsidRPr="00274E2A" w:rsidRDefault="00274E2A" w:rsidP="00274E2A">
      <w:pPr>
        <w:outlineLvl w:val="2"/>
        <w:rPr>
          <w:rFonts w:ascii="Segoe UI" w:hAnsi="Segoe UI" w:cs="Segoe UI"/>
          <w:b/>
          <w:bCs/>
          <w:sz w:val="22"/>
          <w:szCs w:val="22"/>
        </w:rPr>
      </w:pPr>
      <w:r w:rsidRPr="00274E2A">
        <w:rPr>
          <w:rFonts w:ascii="Segoe UI" w:hAnsi="Segoe UI" w:cs="Segoe UI"/>
          <w:b/>
          <w:bCs/>
          <w:sz w:val="22"/>
          <w:szCs w:val="22"/>
        </w:rPr>
        <w:t>What This Means for You</w:t>
      </w:r>
    </w:p>
    <w:p w14:paraId="5CC348F1" w14:textId="77777777" w:rsidR="00274E2A" w:rsidRPr="00274E2A" w:rsidRDefault="00274E2A" w:rsidP="00274E2A">
      <w:pPr>
        <w:numPr>
          <w:ilvl w:val="0"/>
          <w:numId w:val="2"/>
        </w:numPr>
        <w:rPr>
          <w:rFonts w:ascii="Segoe UI" w:hAnsi="Segoe UI" w:cs="Segoe UI"/>
          <w:sz w:val="20"/>
          <w:szCs w:val="20"/>
        </w:rPr>
      </w:pPr>
      <w:r w:rsidRPr="00274E2A">
        <w:rPr>
          <w:rFonts w:ascii="Segoe UI" w:hAnsi="Segoe UI" w:cs="Segoe UI"/>
          <w:sz w:val="20"/>
          <w:szCs w:val="20"/>
        </w:rPr>
        <w:t>Your care and treatment are always our top priority.</w:t>
      </w:r>
    </w:p>
    <w:p w14:paraId="4AD22695" w14:textId="77777777" w:rsidR="00274E2A" w:rsidRPr="00274E2A" w:rsidRDefault="00274E2A" w:rsidP="00274E2A">
      <w:pPr>
        <w:numPr>
          <w:ilvl w:val="0"/>
          <w:numId w:val="2"/>
        </w:numPr>
        <w:rPr>
          <w:rFonts w:ascii="Segoe UI" w:hAnsi="Segoe UI" w:cs="Segoe UI"/>
          <w:sz w:val="20"/>
          <w:szCs w:val="20"/>
        </w:rPr>
      </w:pPr>
      <w:r w:rsidRPr="00274E2A">
        <w:rPr>
          <w:rFonts w:ascii="Segoe UI" w:hAnsi="Segoe UI" w:cs="Segoe UI"/>
          <w:sz w:val="20"/>
          <w:szCs w:val="20"/>
        </w:rPr>
        <w:t xml:space="preserve">Any recommendations we make for medications or pharmacies are based </w:t>
      </w:r>
      <w:r w:rsidRPr="00274E2A">
        <w:rPr>
          <w:rFonts w:ascii="Segoe UI" w:hAnsi="Segoe UI" w:cs="Segoe UI"/>
          <w:b/>
          <w:bCs/>
          <w:sz w:val="20"/>
          <w:szCs w:val="20"/>
        </w:rPr>
        <w:t>solely on your clinical needs and personal preferences</w:t>
      </w:r>
      <w:r w:rsidRPr="00274E2A">
        <w:rPr>
          <w:rFonts w:ascii="Segoe UI" w:hAnsi="Segoe UI" w:cs="Segoe UI"/>
          <w:sz w:val="20"/>
          <w:szCs w:val="20"/>
        </w:rPr>
        <w:t>.</w:t>
      </w:r>
    </w:p>
    <w:p w14:paraId="7B1F0495" w14:textId="77777777" w:rsidR="00274E2A" w:rsidRPr="00274E2A" w:rsidRDefault="00274E2A" w:rsidP="00274E2A">
      <w:pPr>
        <w:numPr>
          <w:ilvl w:val="0"/>
          <w:numId w:val="2"/>
        </w:numPr>
        <w:rPr>
          <w:rFonts w:ascii="Segoe UI" w:hAnsi="Segoe UI" w:cs="Segoe UI"/>
          <w:sz w:val="20"/>
          <w:szCs w:val="20"/>
        </w:rPr>
      </w:pPr>
      <w:r w:rsidRPr="00274E2A">
        <w:rPr>
          <w:rFonts w:ascii="Segoe UI" w:hAnsi="Segoe UI" w:cs="Segoe UI"/>
          <w:sz w:val="20"/>
          <w:szCs w:val="20"/>
        </w:rPr>
        <w:t xml:space="preserve">You are </w:t>
      </w:r>
      <w:r w:rsidRPr="00274E2A">
        <w:rPr>
          <w:rFonts w:ascii="Segoe UI" w:hAnsi="Segoe UI" w:cs="Segoe UI"/>
          <w:b/>
          <w:bCs/>
          <w:sz w:val="20"/>
          <w:szCs w:val="20"/>
        </w:rPr>
        <w:t>free to choose any pharmacy</w:t>
      </w:r>
      <w:r w:rsidRPr="00274E2A">
        <w:rPr>
          <w:rFonts w:ascii="Segoe UI" w:hAnsi="Segoe UI" w:cs="Segoe UI"/>
          <w:sz w:val="20"/>
          <w:szCs w:val="20"/>
        </w:rPr>
        <w:t xml:space="preserve"> to dispense your prescriptions. There is </w:t>
      </w:r>
      <w:r w:rsidRPr="00274E2A">
        <w:rPr>
          <w:rFonts w:ascii="Segoe UI" w:hAnsi="Segoe UI" w:cs="Segoe UI"/>
          <w:b/>
          <w:bCs/>
          <w:sz w:val="20"/>
          <w:szCs w:val="20"/>
        </w:rPr>
        <w:t>no obligation</w:t>
      </w:r>
      <w:r w:rsidRPr="00274E2A">
        <w:rPr>
          <w:rFonts w:ascii="Segoe UI" w:hAnsi="Segoe UI" w:cs="Segoe UI"/>
          <w:sz w:val="20"/>
          <w:szCs w:val="20"/>
        </w:rPr>
        <w:t xml:space="preserve"> to use Newton Pharmacy.</w:t>
      </w:r>
    </w:p>
    <w:p w14:paraId="6FFFBBE4" w14:textId="77777777" w:rsidR="00274E2A" w:rsidRPr="00274E2A" w:rsidRDefault="00274E2A" w:rsidP="00274E2A">
      <w:pPr>
        <w:outlineLvl w:val="2"/>
        <w:rPr>
          <w:rFonts w:ascii="Segoe UI" w:hAnsi="Segoe UI" w:cs="Segoe UI"/>
          <w:b/>
          <w:bCs/>
          <w:sz w:val="22"/>
          <w:szCs w:val="22"/>
        </w:rPr>
      </w:pPr>
      <w:r w:rsidRPr="00274E2A">
        <w:rPr>
          <w:rFonts w:ascii="Segoe UI" w:hAnsi="Segoe UI" w:cs="Segoe UI"/>
          <w:b/>
          <w:bCs/>
          <w:sz w:val="22"/>
          <w:szCs w:val="22"/>
        </w:rPr>
        <w:t>Electronic Prescription Service (EPS)</w:t>
      </w:r>
    </w:p>
    <w:p w14:paraId="40D80C18" w14:textId="77777777" w:rsidR="00274E2A" w:rsidRPr="00274E2A" w:rsidRDefault="00274E2A" w:rsidP="00274E2A">
      <w:pPr>
        <w:numPr>
          <w:ilvl w:val="0"/>
          <w:numId w:val="3"/>
        </w:numPr>
        <w:rPr>
          <w:rFonts w:ascii="Segoe UI" w:hAnsi="Segoe UI" w:cs="Segoe UI"/>
          <w:sz w:val="20"/>
          <w:szCs w:val="20"/>
        </w:rPr>
      </w:pPr>
      <w:r w:rsidRPr="00274E2A">
        <w:rPr>
          <w:rFonts w:ascii="Segoe UI" w:hAnsi="Segoe UI" w:cs="Segoe UI"/>
          <w:sz w:val="20"/>
          <w:szCs w:val="20"/>
        </w:rPr>
        <w:t>The Electronic Prescription Service (EPS) allows your prescriptions to be sent electronically to a pharmacy of your choice.</w:t>
      </w:r>
    </w:p>
    <w:p w14:paraId="3B54CEB5" w14:textId="77777777" w:rsidR="00274E2A" w:rsidRPr="00274E2A" w:rsidRDefault="00274E2A" w:rsidP="00274E2A">
      <w:pPr>
        <w:numPr>
          <w:ilvl w:val="0"/>
          <w:numId w:val="3"/>
        </w:numPr>
        <w:rPr>
          <w:rFonts w:ascii="Segoe UI" w:hAnsi="Segoe UI" w:cs="Segoe UI"/>
          <w:sz w:val="20"/>
          <w:szCs w:val="20"/>
        </w:rPr>
      </w:pPr>
      <w:r w:rsidRPr="00274E2A">
        <w:rPr>
          <w:rFonts w:ascii="Segoe UI" w:eastAsia="Aptos" w:hAnsi="Segoe UI" w:cs="Segoe UI"/>
          <w:kern w:val="2"/>
          <w:sz w:val="20"/>
          <w:szCs w:val="20"/>
          <w:lang w:eastAsia="en-US"/>
          <w14:ligatures w14:val="standardContextual"/>
        </w:rPr>
        <w:t xml:space="preserve">If you are </w:t>
      </w:r>
      <w:r w:rsidRPr="00274E2A">
        <w:rPr>
          <w:rFonts w:ascii="Segoe UI" w:eastAsia="Aptos" w:hAnsi="Segoe UI" w:cs="Segoe UI"/>
          <w:b/>
          <w:bCs/>
          <w:kern w:val="2"/>
          <w:sz w:val="20"/>
          <w:szCs w:val="20"/>
          <w:lang w:eastAsia="en-US"/>
          <w14:ligatures w14:val="standardContextual"/>
        </w:rPr>
        <w:t>currently a dispensing doctor patient</w:t>
      </w:r>
      <w:r w:rsidRPr="00274E2A">
        <w:rPr>
          <w:rFonts w:ascii="Segoe UI" w:eastAsia="Aptos" w:hAnsi="Segoe UI" w:cs="Segoe UI"/>
          <w:kern w:val="2"/>
          <w:sz w:val="20"/>
          <w:szCs w:val="20"/>
          <w:lang w:eastAsia="en-US"/>
          <w14:ligatures w14:val="standardContextual"/>
        </w:rPr>
        <w:t xml:space="preserve">, should you choose a community pharmacy nomination then under current NHS England regulations, you would </w:t>
      </w:r>
      <w:r w:rsidRPr="00274E2A">
        <w:rPr>
          <w:rFonts w:ascii="Segoe UI" w:eastAsia="Aptos" w:hAnsi="Segoe UI" w:cs="Segoe UI"/>
          <w:b/>
          <w:bCs/>
          <w:kern w:val="2"/>
          <w:sz w:val="20"/>
          <w:szCs w:val="20"/>
          <w:lang w:eastAsia="en-US"/>
          <w14:ligatures w14:val="standardContextual"/>
        </w:rPr>
        <w:t>not be eligible</w:t>
      </w:r>
      <w:r w:rsidRPr="00274E2A">
        <w:rPr>
          <w:rFonts w:ascii="Segoe UI" w:eastAsia="Aptos" w:hAnsi="Segoe UI" w:cs="Segoe UI"/>
          <w:kern w:val="2"/>
          <w:sz w:val="20"/>
          <w:szCs w:val="20"/>
          <w:lang w:eastAsia="en-US"/>
          <w14:ligatures w14:val="standardContextual"/>
        </w:rPr>
        <w:t xml:space="preserve"> to return as a dispensing patient at this practice</w:t>
      </w:r>
    </w:p>
    <w:p w14:paraId="3F8AD55D" w14:textId="77777777" w:rsidR="00274E2A" w:rsidRPr="00274E2A" w:rsidRDefault="00274E2A" w:rsidP="00274E2A">
      <w:pPr>
        <w:numPr>
          <w:ilvl w:val="0"/>
          <w:numId w:val="3"/>
        </w:numPr>
        <w:rPr>
          <w:rFonts w:ascii="Segoe UI" w:hAnsi="Segoe UI" w:cs="Segoe UI"/>
          <w:sz w:val="20"/>
          <w:szCs w:val="20"/>
        </w:rPr>
      </w:pPr>
      <w:r w:rsidRPr="00274E2A">
        <w:rPr>
          <w:rFonts w:ascii="Segoe UI" w:hAnsi="Segoe UI" w:cs="Segoe UI"/>
          <w:sz w:val="20"/>
          <w:szCs w:val="20"/>
        </w:rPr>
        <w:t xml:space="preserve">You can </w:t>
      </w:r>
      <w:r w:rsidRPr="00274E2A">
        <w:rPr>
          <w:rFonts w:ascii="Segoe UI" w:hAnsi="Segoe UI" w:cs="Segoe UI"/>
          <w:b/>
          <w:bCs/>
          <w:sz w:val="20"/>
          <w:szCs w:val="20"/>
        </w:rPr>
        <w:t>nominate any pharmacy</w:t>
      </w:r>
      <w:r w:rsidRPr="00274E2A">
        <w:rPr>
          <w:rFonts w:ascii="Segoe UI" w:hAnsi="Segoe UI" w:cs="Segoe UI"/>
          <w:sz w:val="20"/>
          <w:szCs w:val="20"/>
        </w:rPr>
        <w:t xml:space="preserve"> to receive your prescriptions. This can be changed or reviewed at any time.</w:t>
      </w:r>
    </w:p>
    <w:p w14:paraId="4C2821EF" w14:textId="77777777" w:rsidR="00274E2A" w:rsidRPr="00274E2A" w:rsidRDefault="00274E2A" w:rsidP="00274E2A">
      <w:pPr>
        <w:numPr>
          <w:ilvl w:val="0"/>
          <w:numId w:val="3"/>
        </w:numPr>
        <w:rPr>
          <w:rFonts w:ascii="Segoe UI" w:hAnsi="Segoe UI" w:cs="Segoe UI"/>
          <w:sz w:val="20"/>
          <w:szCs w:val="20"/>
        </w:rPr>
      </w:pPr>
      <w:r w:rsidRPr="00274E2A">
        <w:rPr>
          <w:rFonts w:ascii="Segoe UI" w:hAnsi="Segoe UI" w:cs="Segoe UI"/>
          <w:sz w:val="20"/>
          <w:szCs w:val="20"/>
        </w:rPr>
        <w:t>If you have previously nominated a pharmacy, this will remain in place unless you choose to change it.</w:t>
      </w:r>
    </w:p>
    <w:p w14:paraId="3AAA9CCD" w14:textId="77777777" w:rsidR="00274E2A" w:rsidRPr="00274E2A" w:rsidRDefault="00274E2A" w:rsidP="00274E2A">
      <w:pPr>
        <w:numPr>
          <w:ilvl w:val="0"/>
          <w:numId w:val="3"/>
        </w:numPr>
        <w:rPr>
          <w:rFonts w:ascii="Segoe UI" w:hAnsi="Segoe UI" w:cs="Segoe UI"/>
          <w:sz w:val="20"/>
          <w:szCs w:val="20"/>
        </w:rPr>
      </w:pPr>
      <w:r w:rsidRPr="00274E2A">
        <w:rPr>
          <w:rFonts w:ascii="Segoe UI" w:hAnsi="Segoe UI" w:cs="Segoe UI"/>
          <w:sz w:val="20"/>
          <w:szCs w:val="20"/>
        </w:rPr>
        <w:t xml:space="preserve">We will </w:t>
      </w:r>
      <w:r w:rsidRPr="00274E2A">
        <w:rPr>
          <w:rFonts w:ascii="Segoe UI" w:hAnsi="Segoe UI" w:cs="Segoe UI"/>
          <w:b/>
          <w:bCs/>
          <w:sz w:val="20"/>
          <w:szCs w:val="20"/>
        </w:rPr>
        <w:t>not automatically nominate or change your nominated pharmacy without your consent</w:t>
      </w:r>
      <w:r w:rsidRPr="00274E2A">
        <w:rPr>
          <w:rFonts w:ascii="Segoe UI" w:hAnsi="Segoe UI" w:cs="Segoe UI"/>
          <w:sz w:val="20"/>
          <w:szCs w:val="20"/>
        </w:rPr>
        <w:t>.</w:t>
      </w:r>
    </w:p>
    <w:p w14:paraId="3E4E292F" w14:textId="77777777" w:rsidR="00274E2A" w:rsidRPr="00274E2A" w:rsidRDefault="00274E2A" w:rsidP="00274E2A">
      <w:pPr>
        <w:numPr>
          <w:ilvl w:val="0"/>
          <w:numId w:val="3"/>
        </w:numPr>
        <w:rPr>
          <w:rFonts w:ascii="Segoe UI" w:hAnsi="Segoe UI" w:cs="Segoe UI"/>
          <w:sz w:val="20"/>
          <w:szCs w:val="20"/>
        </w:rPr>
      </w:pPr>
      <w:r w:rsidRPr="00274E2A">
        <w:rPr>
          <w:rFonts w:ascii="Segoe UI" w:hAnsi="Segoe UI" w:cs="Segoe UI"/>
          <w:sz w:val="20"/>
          <w:szCs w:val="20"/>
        </w:rPr>
        <w:t xml:space="preserve">If you ask for advice about pharmacies, we will provide </w:t>
      </w:r>
      <w:r w:rsidRPr="00274E2A">
        <w:rPr>
          <w:rFonts w:ascii="Segoe UI" w:hAnsi="Segoe UI" w:cs="Segoe UI"/>
          <w:b/>
          <w:bCs/>
          <w:sz w:val="20"/>
          <w:szCs w:val="20"/>
        </w:rPr>
        <w:t>balanced information about local options</w:t>
      </w:r>
      <w:r w:rsidRPr="00274E2A">
        <w:rPr>
          <w:rFonts w:ascii="Segoe UI" w:hAnsi="Segoe UI" w:cs="Segoe UI"/>
          <w:sz w:val="20"/>
          <w:szCs w:val="20"/>
        </w:rPr>
        <w:t>.</w:t>
      </w:r>
    </w:p>
    <w:p w14:paraId="578EB934" w14:textId="77777777" w:rsidR="00274E2A" w:rsidRPr="00274E2A" w:rsidRDefault="00274E2A" w:rsidP="00274E2A">
      <w:pPr>
        <w:numPr>
          <w:ilvl w:val="0"/>
          <w:numId w:val="3"/>
        </w:numPr>
        <w:rPr>
          <w:rFonts w:ascii="Segoe UI" w:hAnsi="Segoe UI" w:cs="Segoe UI"/>
          <w:sz w:val="20"/>
          <w:szCs w:val="20"/>
        </w:rPr>
      </w:pPr>
      <w:r w:rsidRPr="00274E2A">
        <w:rPr>
          <w:rFonts w:ascii="Segoe UI" w:hAnsi="Segoe UI" w:cs="Segoe UI"/>
          <w:sz w:val="20"/>
          <w:szCs w:val="20"/>
        </w:rPr>
        <w:t>Choosing Newton Pharmacy is entirely optional, and alternative pharmacies are always available.</w:t>
      </w:r>
    </w:p>
    <w:p w14:paraId="284299FC" w14:textId="77777777" w:rsidR="00274E2A" w:rsidRPr="00274E2A" w:rsidRDefault="00274E2A" w:rsidP="00274E2A">
      <w:pPr>
        <w:outlineLvl w:val="2"/>
        <w:rPr>
          <w:rFonts w:ascii="Segoe UI" w:hAnsi="Segoe UI" w:cs="Segoe UI"/>
          <w:b/>
          <w:bCs/>
          <w:sz w:val="22"/>
          <w:szCs w:val="22"/>
        </w:rPr>
      </w:pPr>
      <w:r w:rsidRPr="00274E2A">
        <w:rPr>
          <w:rFonts w:ascii="Segoe UI" w:hAnsi="Segoe UI" w:cs="Segoe UI"/>
          <w:b/>
          <w:bCs/>
          <w:sz w:val="22"/>
          <w:szCs w:val="22"/>
        </w:rPr>
        <w:t>Prescribing and Referrals</w:t>
      </w:r>
    </w:p>
    <w:p w14:paraId="1E1A1FF5" w14:textId="77777777" w:rsidR="00274E2A" w:rsidRPr="00274E2A" w:rsidRDefault="00274E2A" w:rsidP="00274E2A">
      <w:pPr>
        <w:numPr>
          <w:ilvl w:val="0"/>
          <w:numId w:val="4"/>
        </w:numPr>
        <w:rPr>
          <w:rFonts w:ascii="Segoe UI" w:hAnsi="Segoe UI" w:cs="Segoe UI"/>
          <w:sz w:val="20"/>
          <w:szCs w:val="20"/>
        </w:rPr>
      </w:pPr>
      <w:r w:rsidRPr="00274E2A">
        <w:rPr>
          <w:rFonts w:ascii="Segoe UI" w:hAnsi="Segoe UI" w:cs="Segoe UI"/>
          <w:sz w:val="20"/>
          <w:szCs w:val="20"/>
        </w:rPr>
        <w:t>Our prescribing decisions follow NHS guidance and clinical best practice.</w:t>
      </w:r>
    </w:p>
    <w:p w14:paraId="6B48B173" w14:textId="77777777" w:rsidR="00274E2A" w:rsidRPr="00274E2A" w:rsidRDefault="00274E2A" w:rsidP="00274E2A">
      <w:pPr>
        <w:numPr>
          <w:ilvl w:val="0"/>
          <w:numId w:val="4"/>
        </w:numPr>
        <w:rPr>
          <w:rFonts w:ascii="Segoe UI" w:hAnsi="Segoe UI" w:cs="Segoe UI"/>
          <w:sz w:val="20"/>
          <w:szCs w:val="20"/>
        </w:rPr>
      </w:pPr>
      <w:r w:rsidRPr="00274E2A">
        <w:rPr>
          <w:rFonts w:ascii="Segoe UI" w:hAnsi="Segoe UI" w:cs="Segoe UI"/>
          <w:sz w:val="20"/>
          <w:szCs w:val="20"/>
        </w:rPr>
        <w:t xml:space="preserve">We do not receive incentives for prescribing specific medicines or for directing prescriptions to any </w:t>
      </w:r>
      <w:proofErr w:type="gramStart"/>
      <w:r w:rsidRPr="00274E2A">
        <w:rPr>
          <w:rFonts w:ascii="Segoe UI" w:hAnsi="Segoe UI" w:cs="Segoe UI"/>
          <w:sz w:val="20"/>
          <w:szCs w:val="20"/>
        </w:rPr>
        <w:t>particular pharmacy</w:t>
      </w:r>
      <w:proofErr w:type="gramEnd"/>
      <w:r w:rsidRPr="00274E2A">
        <w:rPr>
          <w:rFonts w:ascii="Segoe UI" w:hAnsi="Segoe UI" w:cs="Segoe UI"/>
          <w:sz w:val="20"/>
          <w:szCs w:val="20"/>
        </w:rPr>
        <w:t>.</w:t>
      </w:r>
    </w:p>
    <w:p w14:paraId="5ECC7280" w14:textId="77777777" w:rsidR="00274E2A" w:rsidRPr="00274E2A" w:rsidRDefault="00274E2A" w:rsidP="00274E2A">
      <w:pPr>
        <w:numPr>
          <w:ilvl w:val="0"/>
          <w:numId w:val="4"/>
        </w:numPr>
        <w:rPr>
          <w:rFonts w:ascii="Segoe UI" w:hAnsi="Segoe UI" w:cs="Segoe UI"/>
          <w:sz w:val="18"/>
          <w:szCs w:val="18"/>
        </w:rPr>
      </w:pPr>
      <w:r w:rsidRPr="00274E2A">
        <w:rPr>
          <w:rFonts w:ascii="Segoe UI" w:hAnsi="Segoe UI" w:cs="Segoe UI"/>
          <w:sz w:val="20"/>
          <w:szCs w:val="20"/>
        </w:rPr>
        <w:t>Where appropriate, we may offer information about local pharmacy services, including Newton Pharmacy, as well as other providers.</w:t>
      </w:r>
    </w:p>
    <w:p w14:paraId="64517DBA" w14:textId="77777777" w:rsidR="00274E2A" w:rsidRPr="00274E2A" w:rsidRDefault="00274E2A" w:rsidP="00274E2A">
      <w:pPr>
        <w:outlineLvl w:val="2"/>
        <w:rPr>
          <w:rFonts w:ascii="Segoe UI" w:hAnsi="Segoe UI" w:cs="Segoe UI"/>
          <w:b/>
          <w:bCs/>
          <w:sz w:val="22"/>
          <w:szCs w:val="22"/>
        </w:rPr>
      </w:pPr>
      <w:r w:rsidRPr="00274E2A">
        <w:rPr>
          <w:rFonts w:ascii="Segoe UI" w:hAnsi="Segoe UI" w:cs="Segoe UI"/>
          <w:b/>
          <w:bCs/>
          <w:sz w:val="22"/>
          <w:szCs w:val="22"/>
        </w:rPr>
        <w:t>How We Manage Conflicts of Interest</w:t>
      </w:r>
    </w:p>
    <w:p w14:paraId="2551319F" w14:textId="77777777" w:rsidR="00274E2A" w:rsidRPr="00274E2A" w:rsidRDefault="00274E2A" w:rsidP="00274E2A">
      <w:pPr>
        <w:rPr>
          <w:rFonts w:ascii="Segoe UI" w:hAnsi="Segoe UI" w:cs="Segoe UI"/>
          <w:sz w:val="20"/>
          <w:szCs w:val="20"/>
        </w:rPr>
      </w:pPr>
      <w:r w:rsidRPr="00274E2A">
        <w:rPr>
          <w:rFonts w:ascii="Segoe UI" w:hAnsi="Segoe UI" w:cs="Segoe UI"/>
          <w:sz w:val="20"/>
          <w:szCs w:val="20"/>
        </w:rPr>
        <w:t>To ensure fairness and transparency:</w:t>
      </w:r>
    </w:p>
    <w:p w14:paraId="36E96D90" w14:textId="77777777" w:rsidR="00274E2A" w:rsidRPr="00274E2A" w:rsidRDefault="00274E2A" w:rsidP="00274E2A">
      <w:pPr>
        <w:numPr>
          <w:ilvl w:val="0"/>
          <w:numId w:val="5"/>
        </w:numPr>
        <w:rPr>
          <w:rFonts w:ascii="Segoe UI" w:hAnsi="Segoe UI" w:cs="Segoe UI"/>
          <w:sz w:val="20"/>
          <w:szCs w:val="20"/>
        </w:rPr>
      </w:pPr>
      <w:r w:rsidRPr="00274E2A">
        <w:rPr>
          <w:rFonts w:ascii="Segoe UI" w:hAnsi="Segoe UI" w:cs="Segoe UI"/>
          <w:sz w:val="20"/>
          <w:szCs w:val="20"/>
        </w:rPr>
        <w:t>We maintain a register of interests in line with NHS guidance.</w:t>
      </w:r>
    </w:p>
    <w:p w14:paraId="341D0E1F" w14:textId="77777777" w:rsidR="00274E2A" w:rsidRPr="00274E2A" w:rsidRDefault="00274E2A" w:rsidP="00274E2A">
      <w:pPr>
        <w:numPr>
          <w:ilvl w:val="0"/>
          <w:numId w:val="5"/>
        </w:numPr>
        <w:rPr>
          <w:rFonts w:ascii="Segoe UI" w:hAnsi="Segoe UI" w:cs="Segoe UI"/>
          <w:sz w:val="20"/>
          <w:szCs w:val="20"/>
        </w:rPr>
      </w:pPr>
      <w:r w:rsidRPr="00274E2A">
        <w:rPr>
          <w:rFonts w:ascii="Segoe UI" w:hAnsi="Segoe UI" w:cs="Segoe UI"/>
          <w:sz w:val="20"/>
          <w:szCs w:val="20"/>
        </w:rPr>
        <w:t>We follow NHS England and local Integrated Care Board (ICB) policies on conflicts of interest.</w:t>
      </w:r>
    </w:p>
    <w:p w14:paraId="59B388D0" w14:textId="77777777" w:rsidR="00274E2A" w:rsidRPr="00274E2A" w:rsidRDefault="00274E2A" w:rsidP="00274E2A">
      <w:pPr>
        <w:numPr>
          <w:ilvl w:val="0"/>
          <w:numId w:val="5"/>
        </w:numPr>
        <w:rPr>
          <w:rFonts w:ascii="Segoe UI" w:hAnsi="Segoe UI" w:cs="Segoe UI"/>
          <w:sz w:val="20"/>
          <w:szCs w:val="20"/>
        </w:rPr>
      </w:pPr>
      <w:r w:rsidRPr="00274E2A">
        <w:rPr>
          <w:rFonts w:ascii="Segoe UI" w:hAnsi="Segoe UI" w:cs="Segoe UI"/>
          <w:sz w:val="20"/>
          <w:szCs w:val="20"/>
        </w:rPr>
        <w:t>We ensure that any potential conflicts are identified, recorded, and appropriately managed.</w:t>
      </w:r>
    </w:p>
    <w:p w14:paraId="57946D53" w14:textId="77777777" w:rsidR="00274E2A" w:rsidRPr="00274E2A" w:rsidRDefault="00274E2A" w:rsidP="00274E2A">
      <w:pPr>
        <w:outlineLvl w:val="2"/>
        <w:rPr>
          <w:rFonts w:ascii="Segoe UI" w:hAnsi="Segoe UI" w:cs="Segoe UI"/>
          <w:b/>
          <w:bCs/>
          <w:sz w:val="22"/>
          <w:szCs w:val="22"/>
        </w:rPr>
      </w:pPr>
      <w:r w:rsidRPr="00274E2A">
        <w:rPr>
          <w:rFonts w:ascii="Segoe UI" w:hAnsi="Segoe UI" w:cs="Segoe UI"/>
          <w:b/>
          <w:bCs/>
          <w:sz w:val="22"/>
          <w:szCs w:val="22"/>
        </w:rPr>
        <w:t>Questions or Concerns</w:t>
      </w:r>
    </w:p>
    <w:p w14:paraId="5A45396B" w14:textId="6F3E050C" w:rsidR="00274E2A" w:rsidRPr="00274E2A" w:rsidRDefault="00274E2A" w:rsidP="00274E2A">
      <w:pPr>
        <w:rPr>
          <w:rFonts w:ascii="Segoe UI" w:hAnsi="Segoe UI" w:cs="Segoe UI"/>
          <w:sz w:val="20"/>
          <w:szCs w:val="20"/>
        </w:rPr>
      </w:pPr>
      <w:r w:rsidRPr="00274E2A">
        <w:rPr>
          <w:rFonts w:ascii="Segoe UI" w:hAnsi="Segoe UI" w:cs="Segoe UI"/>
          <w:sz w:val="20"/>
          <w:szCs w:val="20"/>
        </w:rPr>
        <w:t xml:space="preserve">If you have any questions about this declaration, EPS, or your choice of pharmacy, please speak to a member of our team </w:t>
      </w:r>
      <w:r>
        <w:rPr>
          <w:rFonts w:ascii="Segoe UI" w:hAnsi="Segoe UI" w:cs="Segoe UI"/>
          <w:sz w:val="20"/>
          <w:szCs w:val="20"/>
        </w:rPr>
        <w:t xml:space="preserve">on </w:t>
      </w:r>
      <w:r w:rsidRPr="00274E2A">
        <w:rPr>
          <w:rFonts w:ascii="Segoe UI" w:hAnsi="Segoe UI" w:cs="Segoe UI"/>
          <w:sz w:val="20"/>
          <w:szCs w:val="20"/>
        </w:rPr>
        <w:t>01529 460213</w:t>
      </w:r>
      <w:r>
        <w:rPr>
          <w:rFonts w:ascii="Segoe UI" w:hAnsi="Segoe UI" w:cs="Segoe UI"/>
          <w:sz w:val="20"/>
          <w:szCs w:val="20"/>
        </w:rPr>
        <w:t xml:space="preserve"> or email </w:t>
      </w:r>
      <w:r w:rsidRPr="00274E2A">
        <w:rPr>
          <w:rFonts w:ascii="Segoe UI" w:hAnsi="Segoe UI" w:cs="Segoe UI"/>
          <w:sz w:val="20"/>
          <w:szCs w:val="20"/>
        </w:rPr>
        <w:t xml:space="preserve">the </w:t>
      </w:r>
      <w:r w:rsidRPr="00274E2A">
        <w:rPr>
          <w:rFonts w:ascii="Segoe UI" w:hAnsi="Segoe UI" w:cs="Segoe UI"/>
          <w:sz w:val="20"/>
          <w:szCs w:val="20"/>
        </w:rPr>
        <w:t xml:space="preserve">Practice: </w:t>
      </w:r>
      <w:hyperlink r:id="rId9" w:history="1">
        <w:r w:rsidRPr="00CD4685">
          <w:rPr>
            <w:rStyle w:val="Hyperlink"/>
            <w:rFonts w:ascii="Segoe UI" w:hAnsi="Segoe UI" w:cs="Segoe UI"/>
            <w:sz w:val="20"/>
            <w:szCs w:val="20"/>
          </w:rPr>
          <w:t>licb.millview@nhs.net</w:t>
        </w:r>
      </w:hyperlink>
      <w:r>
        <w:rPr>
          <w:rFonts w:ascii="Segoe UI" w:hAnsi="Segoe UI" w:cs="Segoe UI"/>
          <w:sz w:val="20"/>
          <w:szCs w:val="20"/>
        </w:rPr>
        <w:t xml:space="preserve"> </w:t>
      </w:r>
      <w:r w:rsidRPr="00274E2A">
        <w:rPr>
          <w:rFonts w:ascii="Segoe UI" w:hAnsi="Segoe UI" w:cs="Segoe UI"/>
          <w:sz w:val="20"/>
          <w:szCs w:val="20"/>
        </w:rPr>
        <w:pict w14:anchorId="7B712391">
          <v:rect id="_x0000_i1025" style="width:0;height:1.5pt" o:hralign="center" o:hrstd="t" o:hr="t" fillcolor="#a0a0a0" stroked="f"/>
        </w:pict>
      </w:r>
    </w:p>
    <w:p w14:paraId="36C508C9" w14:textId="2749B4DF" w:rsidR="004A3701" w:rsidRPr="00274E2A" w:rsidRDefault="00274E2A" w:rsidP="00274E2A">
      <w:pPr>
        <w:jc w:val="right"/>
        <w:rPr>
          <w:rFonts w:ascii="Arial" w:hAnsi="Arial" w:cs="Arial"/>
          <w:sz w:val="18"/>
          <w:szCs w:val="18"/>
          <w:lang w:eastAsia="en-US"/>
        </w:rPr>
      </w:pPr>
      <w:r w:rsidRPr="00274E2A">
        <w:rPr>
          <w:rFonts w:ascii="Arial" w:hAnsi="Arial" w:cs="Arial"/>
          <w:sz w:val="18"/>
          <w:szCs w:val="18"/>
          <w:lang w:eastAsia="en-US"/>
        </w:rPr>
        <w:t>Date published: 25th June 2026</w:t>
      </w:r>
      <w:r>
        <w:rPr>
          <w:rFonts w:ascii="Arial" w:hAnsi="Arial" w:cs="Arial"/>
          <w:sz w:val="18"/>
          <w:szCs w:val="18"/>
          <w:lang w:eastAsia="en-US"/>
        </w:rPr>
        <w:t xml:space="preserve"> </w:t>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Pr>
          <w:rFonts w:ascii="Arial" w:hAnsi="Arial" w:cs="Arial"/>
          <w:sz w:val="18"/>
          <w:szCs w:val="18"/>
          <w:lang w:eastAsia="en-US"/>
        </w:rPr>
        <w:tab/>
      </w:r>
      <w:r w:rsidRPr="00274E2A">
        <w:rPr>
          <w:rFonts w:ascii="Arial" w:hAnsi="Arial" w:cs="Arial"/>
          <w:sz w:val="18"/>
          <w:szCs w:val="18"/>
          <w:lang w:eastAsia="en-US"/>
        </w:rPr>
        <w:t>Review date: 24th June 2027</w:t>
      </w:r>
    </w:p>
    <w:sectPr w:rsidR="004A3701" w:rsidRPr="00274E2A" w:rsidSect="00274E2A">
      <w:headerReference w:type="default" r:id="rId10"/>
      <w:footerReference w:type="default" r:id="rId11"/>
      <w:pgSz w:w="11906" w:h="16838" w:code="9"/>
      <w:pgMar w:top="-709" w:right="1134" w:bottom="851" w:left="1134" w:header="3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C12C6" w14:textId="77777777" w:rsidR="00294EB3" w:rsidRDefault="00294EB3" w:rsidP="009A04A8">
      <w:r>
        <w:separator/>
      </w:r>
    </w:p>
  </w:endnote>
  <w:endnote w:type="continuationSeparator" w:id="0">
    <w:p w14:paraId="5EF148AF" w14:textId="77777777" w:rsidR="00294EB3" w:rsidRDefault="00294EB3" w:rsidP="009A0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57" w:type="dxa"/>
        <w:right w:w="57" w:type="dxa"/>
      </w:tblCellMar>
      <w:tblLook w:val="04A0" w:firstRow="1" w:lastRow="0" w:firstColumn="1" w:lastColumn="0" w:noHBand="0" w:noVBand="1"/>
    </w:tblPr>
    <w:tblGrid>
      <w:gridCol w:w="284"/>
      <w:gridCol w:w="222"/>
      <w:gridCol w:w="1870"/>
      <w:gridCol w:w="7203"/>
    </w:tblGrid>
    <w:tr w:rsidR="009A04A8" w:rsidRPr="00DF2933" w14:paraId="4672FD38" w14:textId="77777777" w:rsidTr="009A04A8">
      <w:tc>
        <w:tcPr>
          <w:tcW w:w="284" w:type="dxa"/>
        </w:tcPr>
        <w:p w14:paraId="01D45EBC" w14:textId="77777777" w:rsidR="009A04A8" w:rsidRPr="009A04A8" w:rsidRDefault="009A04A8" w:rsidP="00E41D2E">
          <w:pPr>
            <w:rPr>
              <w:rFonts w:ascii="Arial" w:hAnsi="Arial" w:cs="Arial"/>
              <w:sz w:val="16"/>
              <w:szCs w:val="16"/>
            </w:rPr>
          </w:pPr>
        </w:p>
      </w:tc>
      <w:tc>
        <w:tcPr>
          <w:tcW w:w="222" w:type="dxa"/>
          <w:vAlign w:val="center"/>
        </w:tcPr>
        <w:p w14:paraId="4B430EC3" w14:textId="77777777" w:rsidR="009A04A8" w:rsidRPr="009A04A8" w:rsidRDefault="009A04A8" w:rsidP="009A04A8">
          <w:pPr>
            <w:jc w:val="center"/>
            <w:rPr>
              <w:rFonts w:ascii="Arial" w:hAnsi="Arial" w:cs="Arial"/>
              <w:sz w:val="16"/>
              <w:szCs w:val="16"/>
            </w:rPr>
          </w:pPr>
        </w:p>
      </w:tc>
      <w:tc>
        <w:tcPr>
          <w:tcW w:w="9073" w:type="dxa"/>
          <w:gridSpan w:val="2"/>
        </w:tcPr>
        <w:p w14:paraId="669A3F15" w14:textId="77777777" w:rsidR="009A04A8" w:rsidRPr="009A04A8" w:rsidRDefault="009A04A8" w:rsidP="00E41D2E">
          <w:pPr>
            <w:rPr>
              <w:rFonts w:ascii="Arial" w:hAnsi="Arial" w:cs="Arial"/>
              <w:sz w:val="16"/>
              <w:szCs w:val="16"/>
            </w:rPr>
          </w:pPr>
          <w:r w:rsidRPr="009A04A8">
            <w:rPr>
              <w:rFonts w:ascii="Arial" w:hAnsi="Arial" w:cs="Arial"/>
              <w:b/>
              <w:sz w:val="16"/>
              <w:szCs w:val="16"/>
            </w:rPr>
            <w:t>Reply to</w:t>
          </w:r>
        </w:p>
      </w:tc>
    </w:tr>
    <w:tr w:rsidR="009A04A8" w:rsidRPr="00DF2933" w14:paraId="51549D1B" w14:textId="77777777" w:rsidTr="009A04A8">
      <w:tc>
        <w:tcPr>
          <w:tcW w:w="284" w:type="dxa"/>
          <w:tcBorders>
            <w:right w:val="single" w:sz="4" w:space="0" w:color="auto"/>
          </w:tcBorders>
        </w:tcPr>
        <w:p w14:paraId="44691919" w14:textId="77777777" w:rsidR="009A04A8" w:rsidRPr="009A04A8" w:rsidRDefault="009A04A8" w:rsidP="00E41D2E">
          <w:pPr>
            <w:rPr>
              <w:rFonts w:ascii="Arial" w:hAnsi="Arial" w:cs="Arial"/>
              <w:sz w:val="16"/>
              <w:szCs w:val="16"/>
            </w:rPr>
          </w:pPr>
        </w:p>
      </w:tc>
      <w:tc>
        <w:tcPr>
          <w:tcW w:w="222" w:type="dxa"/>
          <w:tcBorders>
            <w:top w:val="single" w:sz="4" w:space="0" w:color="auto"/>
            <w:left w:val="single" w:sz="4" w:space="0" w:color="auto"/>
            <w:bottom w:val="single" w:sz="4" w:space="0" w:color="auto"/>
            <w:right w:val="single" w:sz="4" w:space="0" w:color="auto"/>
          </w:tcBorders>
          <w:vAlign w:val="center"/>
        </w:tcPr>
        <w:p w14:paraId="0EF4A010" w14:textId="77777777" w:rsidR="009A04A8" w:rsidRPr="009A04A8" w:rsidRDefault="000C5EC5" w:rsidP="009A04A8">
          <w:pPr>
            <w:jc w:val="center"/>
            <w:rPr>
              <w:rFonts w:ascii="Arial" w:hAnsi="Arial" w:cs="Arial"/>
              <w:sz w:val="16"/>
              <w:szCs w:val="16"/>
            </w:rPr>
          </w:pPr>
          <w:r w:rsidRPr="009A04A8">
            <w:rPr>
              <w:rFonts w:ascii="Arial" w:hAnsi="Arial" w:cs="Arial"/>
              <w:sz w:val="16"/>
              <w:szCs w:val="16"/>
            </w:rPr>
            <w:t>√</w:t>
          </w:r>
        </w:p>
      </w:tc>
      <w:tc>
        <w:tcPr>
          <w:tcW w:w="1870" w:type="dxa"/>
          <w:tcBorders>
            <w:left w:val="single" w:sz="4" w:space="0" w:color="auto"/>
          </w:tcBorders>
          <w:vAlign w:val="center"/>
        </w:tcPr>
        <w:p w14:paraId="59AD4055" w14:textId="77777777" w:rsidR="009A04A8" w:rsidRPr="009A04A8" w:rsidRDefault="009A04A8" w:rsidP="00E41D2E">
          <w:pPr>
            <w:rPr>
              <w:rFonts w:ascii="Arial" w:hAnsi="Arial" w:cs="Arial"/>
              <w:b/>
              <w:color w:val="000000"/>
              <w:sz w:val="16"/>
              <w:szCs w:val="16"/>
            </w:rPr>
          </w:pPr>
          <w:r w:rsidRPr="009A04A8">
            <w:rPr>
              <w:rFonts w:ascii="Arial" w:hAnsi="Arial" w:cs="Arial"/>
              <w:b/>
              <w:sz w:val="16"/>
              <w:szCs w:val="16"/>
            </w:rPr>
            <w:t>Millview</w:t>
          </w:r>
          <w:r w:rsidR="006E1D11">
            <w:rPr>
              <w:rFonts w:ascii="Arial" w:hAnsi="Arial" w:cs="Arial"/>
              <w:b/>
              <w:sz w:val="16"/>
              <w:szCs w:val="16"/>
            </w:rPr>
            <w:t xml:space="preserve"> </w:t>
          </w:r>
          <w:r w:rsidRPr="009A04A8">
            <w:rPr>
              <w:rFonts w:ascii="Arial" w:hAnsi="Arial" w:cs="Arial"/>
              <w:b/>
              <w:sz w:val="16"/>
              <w:szCs w:val="16"/>
            </w:rPr>
            <w:t>Heckington</w:t>
          </w:r>
        </w:p>
      </w:tc>
      <w:tc>
        <w:tcPr>
          <w:tcW w:w="7203" w:type="dxa"/>
        </w:tcPr>
        <w:p w14:paraId="6689D165" w14:textId="77777777" w:rsidR="009A04A8" w:rsidRPr="009A04A8" w:rsidRDefault="009A04A8" w:rsidP="00E41D2E">
          <w:pPr>
            <w:rPr>
              <w:rFonts w:ascii="Arial" w:hAnsi="Arial" w:cs="Arial"/>
              <w:color w:val="000000"/>
              <w:sz w:val="16"/>
              <w:szCs w:val="16"/>
            </w:rPr>
          </w:pPr>
          <w:r w:rsidRPr="009A04A8">
            <w:rPr>
              <w:rFonts w:ascii="Arial" w:hAnsi="Arial" w:cs="Arial"/>
              <w:bCs/>
              <w:color w:val="000000"/>
              <w:sz w:val="16"/>
              <w:szCs w:val="16"/>
            </w:rPr>
            <w:t xml:space="preserve">1 Sleaford Road, Heckington, Sleaford, </w:t>
          </w:r>
          <w:r w:rsidRPr="009A04A8">
            <w:rPr>
              <w:rFonts w:ascii="Arial" w:hAnsi="Arial" w:cs="Arial"/>
              <w:color w:val="000000"/>
              <w:sz w:val="16"/>
              <w:szCs w:val="16"/>
            </w:rPr>
            <w:t>Lincolnshire, NG34 9QP</w:t>
          </w:r>
        </w:p>
        <w:p w14:paraId="50330BB2" w14:textId="77777777" w:rsidR="009A04A8" w:rsidRPr="009A04A8" w:rsidRDefault="009A04A8" w:rsidP="001D4FE4">
          <w:pPr>
            <w:rPr>
              <w:rFonts w:ascii="Arial" w:hAnsi="Arial" w:cs="Arial"/>
              <w:color w:val="000000"/>
              <w:sz w:val="16"/>
              <w:szCs w:val="16"/>
            </w:rPr>
          </w:pPr>
          <w:r w:rsidRPr="009A04A8">
            <w:rPr>
              <w:rFonts w:ascii="Arial" w:hAnsi="Arial" w:cs="Arial"/>
              <w:color w:val="000000"/>
              <w:sz w:val="16"/>
              <w:szCs w:val="16"/>
            </w:rPr>
            <w:t>Tel: 01529 460213</w:t>
          </w:r>
        </w:p>
      </w:tc>
    </w:tr>
    <w:tr w:rsidR="009A04A8" w:rsidRPr="00DF2933" w14:paraId="38953540" w14:textId="77777777" w:rsidTr="009A04A8">
      <w:tc>
        <w:tcPr>
          <w:tcW w:w="284" w:type="dxa"/>
        </w:tcPr>
        <w:p w14:paraId="361BEECC" w14:textId="77777777" w:rsidR="009A04A8" w:rsidRPr="009A04A8" w:rsidRDefault="009A04A8" w:rsidP="00E41D2E">
          <w:pPr>
            <w:rPr>
              <w:rFonts w:ascii="Arial" w:hAnsi="Arial" w:cs="Arial"/>
              <w:sz w:val="16"/>
              <w:szCs w:val="16"/>
            </w:rPr>
          </w:pPr>
        </w:p>
      </w:tc>
      <w:tc>
        <w:tcPr>
          <w:tcW w:w="222" w:type="dxa"/>
          <w:tcBorders>
            <w:top w:val="single" w:sz="4" w:space="0" w:color="auto"/>
            <w:bottom w:val="single" w:sz="4" w:space="0" w:color="auto"/>
          </w:tcBorders>
          <w:vAlign w:val="center"/>
        </w:tcPr>
        <w:p w14:paraId="68A4E7B7" w14:textId="77777777" w:rsidR="009A04A8" w:rsidRPr="009A04A8" w:rsidRDefault="009A04A8" w:rsidP="009A04A8">
          <w:pPr>
            <w:jc w:val="center"/>
            <w:rPr>
              <w:rFonts w:ascii="Arial" w:hAnsi="Arial" w:cs="Arial"/>
              <w:sz w:val="16"/>
              <w:szCs w:val="16"/>
            </w:rPr>
          </w:pPr>
        </w:p>
      </w:tc>
      <w:tc>
        <w:tcPr>
          <w:tcW w:w="9073" w:type="dxa"/>
          <w:gridSpan w:val="2"/>
          <w:vAlign w:val="center"/>
        </w:tcPr>
        <w:p w14:paraId="195A4EFE" w14:textId="77777777" w:rsidR="009A04A8" w:rsidRPr="009A04A8" w:rsidRDefault="009A04A8" w:rsidP="00E41D2E">
          <w:pPr>
            <w:rPr>
              <w:rFonts w:ascii="Arial" w:hAnsi="Arial" w:cs="Arial"/>
              <w:sz w:val="16"/>
              <w:szCs w:val="16"/>
            </w:rPr>
          </w:pPr>
        </w:p>
      </w:tc>
    </w:tr>
    <w:tr w:rsidR="009A04A8" w:rsidRPr="00DF2933" w14:paraId="2ACE04AF" w14:textId="77777777" w:rsidTr="009A04A8">
      <w:tc>
        <w:tcPr>
          <w:tcW w:w="284" w:type="dxa"/>
          <w:tcBorders>
            <w:right w:val="single" w:sz="4" w:space="0" w:color="auto"/>
          </w:tcBorders>
        </w:tcPr>
        <w:p w14:paraId="4F289CF5" w14:textId="77777777" w:rsidR="009A04A8" w:rsidRPr="009A04A8" w:rsidRDefault="009A04A8" w:rsidP="00E41D2E">
          <w:pPr>
            <w:rPr>
              <w:rFonts w:ascii="Arial" w:hAnsi="Arial" w:cs="Arial"/>
              <w:sz w:val="16"/>
              <w:szCs w:val="16"/>
            </w:rPr>
          </w:pPr>
        </w:p>
      </w:tc>
      <w:tc>
        <w:tcPr>
          <w:tcW w:w="222" w:type="dxa"/>
          <w:tcBorders>
            <w:top w:val="single" w:sz="4" w:space="0" w:color="auto"/>
            <w:left w:val="single" w:sz="4" w:space="0" w:color="auto"/>
            <w:bottom w:val="single" w:sz="4" w:space="0" w:color="auto"/>
            <w:right w:val="single" w:sz="4" w:space="0" w:color="auto"/>
          </w:tcBorders>
          <w:vAlign w:val="center"/>
        </w:tcPr>
        <w:p w14:paraId="641A527F" w14:textId="77777777" w:rsidR="009A04A8" w:rsidRPr="009A04A8" w:rsidRDefault="009A04A8" w:rsidP="009A04A8">
          <w:pPr>
            <w:jc w:val="center"/>
            <w:rPr>
              <w:rFonts w:ascii="Arial" w:hAnsi="Arial" w:cs="Arial"/>
              <w:sz w:val="16"/>
              <w:szCs w:val="16"/>
            </w:rPr>
          </w:pPr>
        </w:p>
      </w:tc>
      <w:tc>
        <w:tcPr>
          <w:tcW w:w="1870" w:type="dxa"/>
          <w:tcBorders>
            <w:left w:val="single" w:sz="4" w:space="0" w:color="auto"/>
          </w:tcBorders>
          <w:vAlign w:val="center"/>
        </w:tcPr>
        <w:p w14:paraId="60DBB6C4" w14:textId="77777777" w:rsidR="009A04A8" w:rsidRPr="009A04A8" w:rsidRDefault="009A04A8" w:rsidP="00E41D2E">
          <w:pPr>
            <w:rPr>
              <w:rFonts w:ascii="Arial" w:hAnsi="Arial" w:cs="Arial"/>
              <w:b/>
              <w:color w:val="000000"/>
              <w:sz w:val="16"/>
              <w:szCs w:val="16"/>
            </w:rPr>
          </w:pPr>
          <w:r w:rsidRPr="009A04A8">
            <w:rPr>
              <w:rFonts w:ascii="Arial" w:hAnsi="Arial" w:cs="Arial"/>
              <w:b/>
              <w:sz w:val="16"/>
              <w:szCs w:val="16"/>
            </w:rPr>
            <w:t>Millview Sleaford</w:t>
          </w:r>
        </w:p>
      </w:tc>
      <w:tc>
        <w:tcPr>
          <w:tcW w:w="7203" w:type="dxa"/>
        </w:tcPr>
        <w:p w14:paraId="67FF54DE" w14:textId="77777777" w:rsidR="009A04A8" w:rsidRPr="009A04A8" w:rsidRDefault="009A04A8" w:rsidP="00E41D2E">
          <w:pPr>
            <w:rPr>
              <w:rFonts w:ascii="Arial" w:hAnsi="Arial" w:cs="Arial"/>
              <w:color w:val="000000"/>
              <w:sz w:val="16"/>
              <w:szCs w:val="16"/>
            </w:rPr>
          </w:pPr>
          <w:r w:rsidRPr="009A04A8">
            <w:rPr>
              <w:rFonts w:ascii="Arial" w:hAnsi="Arial" w:cs="Arial"/>
              <w:bCs/>
              <w:color w:val="000000"/>
              <w:sz w:val="16"/>
              <w:szCs w:val="16"/>
            </w:rPr>
            <w:t xml:space="preserve">29 Handley Street, Sleaford, </w:t>
          </w:r>
          <w:r w:rsidRPr="009A04A8">
            <w:rPr>
              <w:rFonts w:ascii="Arial" w:hAnsi="Arial" w:cs="Arial"/>
              <w:color w:val="000000"/>
              <w:sz w:val="16"/>
              <w:szCs w:val="16"/>
            </w:rPr>
            <w:t>Lincolnshire, NG34 7TQ</w:t>
          </w:r>
        </w:p>
        <w:p w14:paraId="4967B66B" w14:textId="56C36DE8" w:rsidR="009A04A8" w:rsidRPr="009A04A8" w:rsidRDefault="009A04A8" w:rsidP="00E41D2E">
          <w:pPr>
            <w:rPr>
              <w:rFonts w:ascii="Arial" w:hAnsi="Arial" w:cs="Arial"/>
              <w:sz w:val="16"/>
              <w:szCs w:val="16"/>
            </w:rPr>
          </w:pPr>
        </w:p>
      </w:tc>
    </w:tr>
  </w:tbl>
  <w:p w14:paraId="3C9670EF" w14:textId="6A136664" w:rsidR="009A04A8" w:rsidRPr="00983B8E" w:rsidRDefault="00971790" w:rsidP="00983B8E">
    <w:pPr>
      <w:pStyle w:val="Footer"/>
      <w:jc w:val="center"/>
      <w:rPr>
        <w:sz w:val="18"/>
        <w:szCs w:val="18"/>
      </w:rPr>
    </w:pPr>
    <w:r w:rsidRPr="00274E2A">
      <w:rPr>
        <w:rFonts w:ascii="Aptos" w:hAnsi="Aptos" w:cs="Aptos"/>
        <w:i/>
        <w:color w:val="000000"/>
        <w:sz w:val="18"/>
        <w:szCs w:val="18"/>
      </w:rPr>
      <w:t>If you would like this letter or information in an alternative format (for example, large print or easy read) or if you need help with communicating with us (for example, because you use British Sign Language), please let us know.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DEC8" w14:textId="77777777" w:rsidR="00294EB3" w:rsidRDefault="00294EB3" w:rsidP="009A04A8">
      <w:r>
        <w:separator/>
      </w:r>
    </w:p>
  </w:footnote>
  <w:footnote w:type="continuationSeparator" w:id="0">
    <w:p w14:paraId="1D480C62" w14:textId="77777777" w:rsidR="00294EB3" w:rsidRDefault="00294EB3" w:rsidP="009A0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13FB" w14:textId="77777777" w:rsidR="009A04A8" w:rsidRDefault="009A04A8">
    <w:pPr>
      <w:pStyle w:val="Header"/>
    </w:pPr>
  </w:p>
  <w:tbl>
    <w:tblPr>
      <w:tblW w:w="10315" w:type="dxa"/>
      <w:tblLayout w:type="fixed"/>
      <w:tblLook w:val="04A0" w:firstRow="1" w:lastRow="0" w:firstColumn="1" w:lastColumn="0" w:noHBand="0" w:noVBand="1"/>
    </w:tblPr>
    <w:tblGrid>
      <w:gridCol w:w="6771"/>
      <w:gridCol w:w="3544"/>
    </w:tblGrid>
    <w:tr w:rsidR="009A04A8" w:rsidRPr="009A04A8" w14:paraId="0A83FFEC" w14:textId="77777777" w:rsidTr="009A04A8">
      <w:trPr>
        <w:trHeight w:val="1408"/>
      </w:trPr>
      <w:tc>
        <w:tcPr>
          <w:tcW w:w="6771" w:type="dxa"/>
        </w:tcPr>
        <w:p w14:paraId="495F0994" w14:textId="77777777" w:rsidR="009A04A8" w:rsidRPr="009A04A8" w:rsidRDefault="009A04A8" w:rsidP="00E41D2E">
          <w:pPr>
            <w:rPr>
              <w:rFonts w:ascii="Comic Sans MS" w:hAnsi="Comic Sans MS" w:cs="Arial"/>
              <w:noProof/>
              <w:color w:val="000000"/>
              <w:sz w:val="28"/>
              <w:szCs w:val="16"/>
            </w:rPr>
          </w:pPr>
        </w:p>
        <w:p w14:paraId="5DFF4F13" w14:textId="77777777" w:rsidR="009A04A8" w:rsidRPr="009A04A8" w:rsidRDefault="009A04A8" w:rsidP="00E41D2E">
          <w:pPr>
            <w:rPr>
              <w:rFonts w:ascii="Comic Sans MS" w:hAnsi="Comic Sans MS" w:cs="Arial"/>
              <w:noProof/>
              <w:color w:val="000000"/>
              <w:sz w:val="32"/>
              <w:szCs w:val="16"/>
            </w:rPr>
          </w:pPr>
        </w:p>
        <w:p w14:paraId="268983B7" w14:textId="77777777" w:rsidR="009A04A8" w:rsidRPr="009A04A8" w:rsidRDefault="009A04A8" w:rsidP="00E41D2E">
          <w:pPr>
            <w:rPr>
              <w:rFonts w:ascii="Comic Sans MS" w:hAnsi="Comic Sans MS" w:cs="Arial"/>
              <w:noProof/>
              <w:color w:val="000000"/>
              <w:sz w:val="32"/>
              <w:szCs w:val="16"/>
            </w:rPr>
          </w:pPr>
        </w:p>
        <w:p w14:paraId="048EC7F8" w14:textId="566C486E" w:rsidR="009A04A8" w:rsidRPr="00274E2A" w:rsidRDefault="009A04A8" w:rsidP="00E41D2E">
          <w:pPr>
            <w:rPr>
              <w:rFonts w:ascii="Aptos" w:hAnsi="Aptos" w:cs="Aptos"/>
              <w:noProof/>
              <w:color w:val="000000"/>
              <w:sz w:val="28"/>
              <w:szCs w:val="28"/>
            </w:rPr>
          </w:pPr>
        </w:p>
      </w:tc>
      <w:tc>
        <w:tcPr>
          <w:tcW w:w="3544" w:type="dxa"/>
        </w:tcPr>
        <w:p w14:paraId="749A2951" w14:textId="77777777" w:rsidR="009A04A8" w:rsidRPr="00274E2A" w:rsidRDefault="009A04A8" w:rsidP="009A04A8">
          <w:pPr>
            <w:pStyle w:val="Heading1"/>
            <w:tabs>
              <w:tab w:val="left" w:pos="1451"/>
            </w:tabs>
            <w:rPr>
              <w:rFonts w:ascii="Aptos" w:hAnsi="Aptos" w:cs="Aptos"/>
              <w:b w:val="0"/>
              <w:color w:val="000000"/>
              <w:sz w:val="16"/>
              <w:szCs w:val="16"/>
            </w:rPr>
          </w:pPr>
        </w:p>
        <w:p w14:paraId="7F19594E" w14:textId="55FD9543" w:rsidR="009A04A8" w:rsidRPr="00274E2A" w:rsidRDefault="009A04A8" w:rsidP="009A04A8">
          <w:pPr>
            <w:tabs>
              <w:tab w:val="left" w:pos="1451"/>
            </w:tabs>
            <w:rPr>
              <w:rFonts w:ascii="Aptos" w:hAnsi="Aptos" w:cs="Aptos"/>
              <w:color w:val="000000"/>
              <w:sz w:val="16"/>
              <w:szCs w:val="16"/>
            </w:rPr>
          </w:pPr>
        </w:p>
      </w:tc>
    </w:tr>
  </w:tbl>
  <w:p w14:paraId="2BC81366" w14:textId="77777777" w:rsidR="009A04A8" w:rsidRDefault="009A0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91428"/>
    <w:multiLevelType w:val="multilevel"/>
    <w:tmpl w:val="02FE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A94C89"/>
    <w:multiLevelType w:val="multilevel"/>
    <w:tmpl w:val="B246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C4E00"/>
    <w:multiLevelType w:val="multilevel"/>
    <w:tmpl w:val="42D8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CB0C5A"/>
    <w:multiLevelType w:val="multilevel"/>
    <w:tmpl w:val="3A88F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701B0C"/>
    <w:multiLevelType w:val="multilevel"/>
    <w:tmpl w:val="9CCC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176230">
    <w:abstractNumId w:val="2"/>
  </w:num>
  <w:num w:numId="2" w16cid:durableId="1721830775">
    <w:abstractNumId w:val="0"/>
  </w:num>
  <w:num w:numId="3" w16cid:durableId="748423000">
    <w:abstractNumId w:val="1"/>
  </w:num>
  <w:num w:numId="4" w16cid:durableId="1298953646">
    <w:abstractNumId w:val="4"/>
  </w:num>
  <w:num w:numId="5" w16cid:durableId="2110155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E4"/>
    <w:rsid w:val="00056AE5"/>
    <w:rsid w:val="000C5EC5"/>
    <w:rsid w:val="00115966"/>
    <w:rsid w:val="00152CA8"/>
    <w:rsid w:val="001D4FE4"/>
    <w:rsid w:val="001D5D4D"/>
    <w:rsid w:val="00274E2A"/>
    <w:rsid w:val="00294EB3"/>
    <w:rsid w:val="002B774C"/>
    <w:rsid w:val="002D53C5"/>
    <w:rsid w:val="00321248"/>
    <w:rsid w:val="003332D0"/>
    <w:rsid w:val="00336BEB"/>
    <w:rsid w:val="00356B57"/>
    <w:rsid w:val="003671D6"/>
    <w:rsid w:val="0037225D"/>
    <w:rsid w:val="003C4072"/>
    <w:rsid w:val="003E00F3"/>
    <w:rsid w:val="00461BCA"/>
    <w:rsid w:val="004A3701"/>
    <w:rsid w:val="004B7394"/>
    <w:rsid w:val="00636B72"/>
    <w:rsid w:val="006417D8"/>
    <w:rsid w:val="006E0A6D"/>
    <w:rsid w:val="006E1D11"/>
    <w:rsid w:val="00727A1C"/>
    <w:rsid w:val="00796010"/>
    <w:rsid w:val="00826409"/>
    <w:rsid w:val="0085626A"/>
    <w:rsid w:val="008E0A12"/>
    <w:rsid w:val="009276A8"/>
    <w:rsid w:val="00936D8A"/>
    <w:rsid w:val="00971790"/>
    <w:rsid w:val="00983B8E"/>
    <w:rsid w:val="009A04A8"/>
    <w:rsid w:val="009E6D41"/>
    <w:rsid w:val="00A2711A"/>
    <w:rsid w:val="00A41B74"/>
    <w:rsid w:val="00BB42FE"/>
    <w:rsid w:val="00BC7348"/>
    <w:rsid w:val="00BD1250"/>
    <w:rsid w:val="00C372E2"/>
    <w:rsid w:val="00C64DB1"/>
    <w:rsid w:val="00CA7B93"/>
    <w:rsid w:val="00D865C2"/>
    <w:rsid w:val="00DC136B"/>
    <w:rsid w:val="00E41D2E"/>
    <w:rsid w:val="00E538AD"/>
    <w:rsid w:val="00E83240"/>
    <w:rsid w:val="00E87462"/>
    <w:rsid w:val="00EF3D37"/>
    <w:rsid w:val="00F56B54"/>
    <w:rsid w:val="00F83DC2"/>
    <w:rsid w:val="00FC5C0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B7D8C"/>
  <w15:docId w15:val="{BFD8AAC0-BA80-4FAA-93D2-E923756E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538AD"/>
    <w:pPr>
      <w:keepNext/>
      <w:outlineLvl w:val="0"/>
    </w:pPr>
    <w:rPr>
      <w:b/>
      <w:bCs/>
      <w:smallCaps/>
      <w:lang w:eastAsia="en-US"/>
    </w:rPr>
  </w:style>
  <w:style w:type="paragraph" w:styleId="Heading2">
    <w:name w:val="heading 2"/>
    <w:basedOn w:val="Normal"/>
    <w:next w:val="Normal"/>
    <w:qFormat/>
    <w:rsid w:val="00E538AD"/>
    <w:pPr>
      <w:keepNext/>
      <w:jc w:val="center"/>
      <w:outlineLvl w:val="1"/>
    </w:pPr>
    <w:rPr>
      <w:b/>
      <w:bCs/>
      <w:sz w:val="20"/>
      <w:szCs w:val="20"/>
      <w:lang w:eastAsia="en-US"/>
    </w:rPr>
  </w:style>
  <w:style w:type="paragraph" w:styleId="Heading3">
    <w:name w:val="heading 3"/>
    <w:basedOn w:val="Normal"/>
    <w:next w:val="Normal"/>
    <w:qFormat/>
    <w:rsid w:val="00E538AD"/>
    <w:pPr>
      <w:keepNext/>
      <w:jc w:val="center"/>
      <w:outlineLvl w:val="2"/>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C136B"/>
    <w:pPr>
      <w:jc w:val="center"/>
    </w:pPr>
    <w:rPr>
      <w:b/>
      <w:bCs/>
      <w:smallCaps/>
      <w:sz w:val="48"/>
      <w:szCs w:val="48"/>
      <w:u w:val="single"/>
      <w:lang w:eastAsia="en-US"/>
    </w:rPr>
  </w:style>
  <w:style w:type="paragraph" w:styleId="Header">
    <w:name w:val="header"/>
    <w:basedOn w:val="Normal"/>
    <w:link w:val="HeaderChar"/>
    <w:uiPriority w:val="99"/>
    <w:rsid w:val="009A04A8"/>
    <w:pPr>
      <w:tabs>
        <w:tab w:val="center" w:pos="4513"/>
        <w:tab w:val="right" w:pos="9026"/>
      </w:tabs>
    </w:pPr>
  </w:style>
  <w:style w:type="character" w:customStyle="1" w:styleId="HeaderChar">
    <w:name w:val="Header Char"/>
    <w:basedOn w:val="DefaultParagraphFont"/>
    <w:link w:val="Header"/>
    <w:uiPriority w:val="99"/>
    <w:rsid w:val="009A04A8"/>
    <w:rPr>
      <w:sz w:val="24"/>
      <w:szCs w:val="24"/>
    </w:rPr>
  </w:style>
  <w:style w:type="paragraph" w:styleId="Footer">
    <w:name w:val="footer"/>
    <w:basedOn w:val="Normal"/>
    <w:link w:val="FooterChar"/>
    <w:uiPriority w:val="99"/>
    <w:rsid w:val="009A04A8"/>
    <w:pPr>
      <w:tabs>
        <w:tab w:val="center" w:pos="4513"/>
        <w:tab w:val="right" w:pos="9026"/>
      </w:tabs>
    </w:pPr>
  </w:style>
  <w:style w:type="character" w:customStyle="1" w:styleId="FooterChar">
    <w:name w:val="Footer Char"/>
    <w:basedOn w:val="DefaultParagraphFont"/>
    <w:link w:val="Footer"/>
    <w:uiPriority w:val="99"/>
    <w:rsid w:val="009A04A8"/>
    <w:rPr>
      <w:sz w:val="24"/>
      <w:szCs w:val="24"/>
    </w:rPr>
  </w:style>
  <w:style w:type="paragraph" w:styleId="BalloonText">
    <w:name w:val="Balloon Text"/>
    <w:basedOn w:val="Normal"/>
    <w:link w:val="BalloonTextChar"/>
    <w:rsid w:val="009A04A8"/>
    <w:rPr>
      <w:rFonts w:ascii="Tahoma" w:hAnsi="Tahoma" w:cs="Tahoma"/>
      <w:sz w:val="16"/>
      <w:szCs w:val="16"/>
    </w:rPr>
  </w:style>
  <w:style w:type="character" w:customStyle="1" w:styleId="BalloonTextChar">
    <w:name w:val="Balloon Text Char"/>
    <w:basedOn w:val="DefaultParagraphFont"/>
    <w:link w:val="BalloonText"/>
    <w:rsid w:val="009A04A8"/>
    <w:rPr>
      <w:rFonts w:ascii="Tahoma" w:hAnsi="Tahoma" w:cs="Tahoma"/>
      <w:sz w:val="16"/>
      <w:szCs w:val="16"/>
    </w:rPr>
  </w:style>
  <w:style w:type="table" w:styleId="TableGrid">
    <w:name w:val="Table Grid"/>
    <w:basedOn w:val="TableNormal"/>
    <w:uiPriority w:val="59"/>
    <w:rsid w:val="009A04A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74E2A"/>
    <w:rPr>
      <w:color w:val="0000FF" w:themeColor="hyperlink"/>
      <w:u w:val="single"/>
    </w:rPr>
  </w:style>
  <w:style w:type="character" w:styleId="UnresolvedMention">
    <w:name w:val="Unresolved Mention"/>
    <w:basedOn w:val="DefaultParagraphFont"/>
    <w:uiPriority w:val="99"/>
    <w:semiHidden/>
    <w:unhideWhenUsed/>
    <w:rsid w:val="00274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4490">
      <w:bodyDiv w:val="1"/>
      <w:marLeft w:val="0"/>
      <w:marRight w:val="0"/>
      <w:marTop w:val="0"/>
      <w:marBottom w:val="0"/>
      <w:divBdr>
        <w:top w:val="none" w:sz="0" w:space="0" w:color="auto"/>
        <w:left w:val="none" w:sz="0" w:space="0" w:color="auto"/>
        <w:bottom w:val="none" w:sz="0" w:space="0" w:color="auto"/>
        <w:right w:val="none" w:sz="0" w:space="0" w:color="auto"/>
      </w:divBdr>
    </w:div>
    <w:div w:id="1423844174">
      <w:bodyDiv w:val="1"/>
      <w:marLeft w:val="0"/>
      <w:marRight w:val="0"/>
      <w:marTop w:val="0"/>
      <w:marBottom w:val="0"/>
      <w:divBdr>
        <w:top w:val="none" w:sz="0" w:space="0" w:color="auto"/>
        <w:left w:val="none" w:sz="0" w:space="0" w:color="auto"/>
        <w:bottom w:val="none" w:sz="0" w:space="0" w:color="auto"/>
        <w:right w:val="none" w:sz="0" w:space="0" w:color="auto"/>
      </w:divBdr>
    </w:div>
    <w:div w:id="156055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b.millview@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02AC6-3286-4CAF-BEAF-28CE2557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TPP</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C Griffen</dc:creator>
  <cp:lastModifiedBy>HARDING, David (MILLVIEW MEDICAL CENTRE)</cp:lastModifiedBy>
  <cp:revision>2</cp:revision>
  <cp:lastPrinted>2025-12-18T09:54:00Z</cp:lastPrinted>
  <dcterms:created xsi:type="dcterms:W3CDTF">2026-06-25T08:18:00Z</dcterms:created>
  <dcterms:modified xsi:type="dcterms:W3CDTF">2026-06-25T08:18:00Z</dcterms:modified>
</cp:coreProperties>
</file>